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BE" w:rsidRDefault="00DC3E80" w:rsidP="00DC3E80">
      <w:pPr>
        <w:jc w:val="center"/>
        <w:rPr>
          <w:b/>
          <w:sz w:val="36"/>
          <w:szCs w:val="36"/>
        </w:rPr>
      </w:pPr>
      <w:r w:rsidRPr="00DC3E80">
        <w:rPr>
          <w:b/>
          <w:sz w:val="36"/>
          <w:szCs w:val="36"/>
        </w:rPr>
        <w:t xml:space="preserve">Kierkegaard </w:t>
      </w:r>
    </w:p>
    <w:p w:rsidR="00DC3E80" w:rsidRDefault="00DC3E80" w:rsidP="00DC3E80">
      <w:pPr>
        <w:jc w:val="center"/>
        <w:rPr>
          <w:b/>
          <w:sz w:val="28"/>
          <w:szCs w:val="36"/>
        </w:rPr>
      </w:pPr>
      <w:r>
        <w:rPr>
          <w:b/>
          <w:sz w:val="28"/>
          <w:szCs w:val="36"/>
        </w:rPr>
        <w:t>Timore e tremore</w:t>
      </w:r>
    </w:p>
    <w:p w:rsidR="00DC3E80" w:rsidRDefault="00DC3E80" w:rsidP="00DC3E80">
      <w:pPr>
        <w:jc w:val="center"/>
        <w:rPr>
          <w:b/>
          <w:sz w:val="28"/>
          <w:szCs w:val="36"/>
        </w:rPr>
      </w:pPr>
    </w:p>
    <w:p w:rsidR="00DC3E80" w:rsidRDefault="00DC3E80" w:rsidP="00DC3E80">
      <w:pPr>
        <w:rPr>
          <w:sz w:val="28"/>
          <w:szCs w:val="36"/>
        </w:rPr>
      </w:pPr>
    </w:p>
    <w:p w:rsidR="00DC3E80" w:rsidRDefault="00DC3E80" w:rsidP="00DC3E80">
      <w:pPr>
        <w:spacing w:line="276" w:lineRule="auto"/>
        <w:rPr>
          <w:sz w:val="28"/>
          <w:szCs w:val="36"/>
        </w:rPr>
      </w:pPr>
      <w:r>
        <w:rPr>
          <w:sz w:val="28"/>
          <w:szCs w:val="36"/>
        </w:rPr>
        <w:t xml:space="preserve">In </w:t>
      </w:r>
      <w:r>
        <w:rPr>
          <w:i/>
          <w:sz w:val="28"/>
          <w:szCs w:val="36"/>
        </w:rPr>
        <w:t xml:space="preserve">Timore e tremore </w:t>
      </w:r>
      <w:r w:rsidR="00043460" w:rsidRPr="00043460">
        <w:rPr>
          <w:sz w:val="28"/>
          <w:szCs w:val="36"/>
        </w:rPr>
        <w:t>Kierkegaard</w:t>
      </w:r>
      <w:r w:rsidR="00043460">
        <w:rPr>
          <w:sz w:val="28"/>
          <w:szCs w:val="36"/>
        </w:rPr>
        <w:t xml:space="preserve"> (ora in avanti K.)</w:t>
      </w:r>
      <w:r>
        <w:rPr>
          <w:sz w:val="28"/>
          <w:szCs w:val="36"/>
        </w:rPr>
        <w:t xml:space="preserve"> situa il significato della fede e del peccato al di là della sfera etica. Il peccato, infatti, non è il contrario della virtù, ma della fede, che è una categoria teologica.</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sz w:val="28"/>
          <w:szCs w:val="36"/>
        </w:rPr>
        <w:t>La fede è un modo d’essere di fronte a Dio. Questo concetto di fede viene elaborato da K. attraverso l’interpretazione della storia di Abramo.</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sz w:val="28"/>
          <w:szCs w:val="36"/>
        </w:rPr>
        <w:t>È il senso che diamo al sacrificio di Isacco a decidere del senso dei concetti di legge e fede. Il sacrificio di Isacco sarebbe un crimine secondo la morale: ma è un atto di obbedienza secondo la fede. Per obbedire a Dio, Abramo ha dovuto sospendere l’etica.</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sz w:val="28"/>
          <w:szCs w:val="36"/>
        </w:rPr>
        <w:t>Abramo doveva diventare il cavaliere della fede che avanza solo, al di là della sicurezza della legge generale (la norma morale).</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i/>
          <w:sz w:val="28"/>
          <w:szCs w:val="36"/>
        </w:rPr>
        <w:t>Timore e tremore</w:t>
      </w:r>
      <w:r>
        <w:rPr>
          <w:sz w:val="28"/>
          <w:szCs w:val="36"/>
        </w:rPr>
        <w:t xml:space="preserve"> dischiude così una nuova dimensione dell’angoscia, che procede dalla contraddizione tra etica e fede. Abramo è il simbolo di questa nuova specie di angoscia, legata alla sospensione teologica dell’etica.</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sz w:val="28"/>
          <w:szCs w:val="36"/>
        </w:rPr>
        <w:t>L’angoscia può intercettare la disperazione. Ma attenzione, la disperazione è il negativo della fede di Abramo. E proprio questa considerazione è la ragione per cui K. non definisce prima il peccato e poi la disperazione, ma costruisce e scopre il peccato proprio nella disperazione. Il peccato visto non più come un salto, ma come uno stato esistenziale inerte.</w:t>
      </w:r>
    </w:p>
    <w:p w:rsidR="00DC3E80" w:rsidRDefault="00DC3E80" w:rsidP="00DC3E80">
      <w:pPr>
        <w:spacing w:line="276" w:lineRule="auto"/>
        <w:rPr>
          <w:sz w:val="28"/>
          <w:szCs w:val="36"/>
        </w:rPr>
      </w:pPr>
    </w:p>
    <w:p w:rsidR="00DC3E80" w:rsidRDefault="00DC3E80" w:rsidP="00DC3E80">
      <w:pPr>
        <w:spacing w:line="276" w:lineRule="auto"/>
        <w:rPr>
          <w:sz w:val="28"/>
          <w:szCs w:val="36"/>
        </w:rPr>
      </w:pPr>
      <w:r>
        <w:rPr>
          <w:sz w:val="28"/>
          <w:szCs w:val="36"/>
        </w:rPr>
        <w:t>La disperazione è una malattia, una malattia in cui si muore senza morire. È la malattia mortale</w:t>
      </w:r>
      <w:r w:rsidR="00D732EE">
        <w:rPr>
          <w:sz w:val="28"/>
          <w:szCs w:val="36"/>
        </w:rPr>
        <w:t xml:space="preserve"> ed è un peccato più grave dell’ingiustizia.</w:t>
      </w:r>
    </w:p>
    <w:p w:rsidR="00D732EE" w:rsidRDefault="00D732EE" w:rsidP="00DC3E80">
      <w:pPr>
        <w:spacing w:line="276" w:lineRule="auto"/>
        <w:rPr>
          <w:sz w:val="28"/>
          <w:szCs w:val="36"/>
        </w:rPr>
      </w:pPr>
    </w:p>
    <w:p w:rsidR="00D732EE" w:rsidRDefault="00D732EE" w:rsidP="00DC3E80">
      <w:pPr>
        <w:spacing w:line="276" w:lineRule="auto"/>
        <w:rPr>
          <w:sz w:val="28"/>
          <w:szCs w:val="36"/>
        </w:rPr>
      </w:pPr>
      <w:r>
        <w:rPr>
          <w:sz w:val="28"/>
          <w:szCs w:val="36"/>
        </w:rPr>
        <w:t>Il tema posto da K. fa tremare le vene ai polsi. Riguarda il mistero tremendo del rapporto del credente con l’Assoluto.</w:t>
      </w:r>
    </w:p>
    <w:p w:rsidR="00D732EE" w:rsidRDefault="00D732EE" w:rsidP="00DC3E80">
      <w:pPr>
        <w:spacing w:line="276" w:lineRule="auto"/>
        <w:rPr>
          <w:sz w:val="28"/>
          <w:szCs w:val="36"/>
        </w:rPr>
      </w:pPr>
    </w:p>
    <w:p w:rsidR="00D732EE" w:rsidRDefault="00D732EE" w:rsidP="00DC3E80">
      <w:pPr>
        <w:spacing w:line="276" w:lineRule="auto"/>
        <w:rPr>
          <w:sz w:val="28"/>
          <w:szCs w:val="36"/>
        </w:rPr>
      </w:pPr>
      <w:r>
        <w:rPr>
          <w:sz w:val="28"/>
          <w:szCs w:val="36"/>
        </w:rPr>
        <w:t xml:space="preserve">Se in </w:t>
      </w:r>
      <w:proofErr w:type="spellStart"/>
      <w:r>
        <w:rPr>
          <w:sz w:val="28"/>
          <w:szCs w:val="36"/>
        </w:rPr>
        <w:t>Kant</w:t>
      </w:r>
      <w:proofErr w:type="spellEnd"/>
      <w:r>
        <w:rPr>
          <w:sz w:val="28"/>
          <w:szCs w:val="36"/>
        </w:rPr>
        <w:t xml:space="preserve"> il fondamento della morale è dato dal «tu devi» dell’imperativo categorico del singolo, e se in </w:t>
      </w:r>
      <w:proofErr w:type="spellStart"/>
      <w:r>
        <w:rPr>
          <w:sz w:val="28"/>
          <w:szCs w:val="36"/>
        </w:rPr>
        <w:t>Hegel</w:t>
      </w:r>
      <w:proofErr w:type="spellEnd"/>
      <w:r>
        <w:rPr>
          <w:sz w:val="28"/>
          <w:szCs w:val="36"/>
        </w:rPr>
        <w:t xml:space="preserve"> scompare ogni riferimento al Singolo (è la ragione universale o spirito assoluto che regola il corso della storia universale, mediante gli spiriti nazionali delle varie civiltà e culture), per K. il fondamento della fede è Abramo.</w:t>
      </w:r>
    </w:p>
    <w:p w:rsidR="00D732EE" w:rsidRDefault="00D732EE" w:rsidP="00DC3E80">
      <w:pPr>
        <w:spacing w:line="276" w:lineRule="auto"/>
        <w:rPr>
          <w:sz w:val="28"/>
          <w:szCs w:val="36"/>
        </w:rPr>
      </w:pPr>
    </w:p>
    <w:p w:rsidR="00D732EE" w:rsidRDefault="00D732EE" w:rsidP="00DC3E80">
      <w:pPr>
        <w:spacing w:line="276" w:lineRule="auto"/>
        <w:rPr>
          <w:sz w:val="28"/>
          <w:szCs w:val="36"/>
        </w:rPr>
      </w:pPr>
      <w:r>
        <w:rPr>
          <w:sz w:val="28"/>
          <w:szCs w:val="36"/>
        </w:rPr>
        <w:lastRenderedPageBreak/>
        <w:t>Abramo è il singolo davanti a Dio. Da Abramo sappiamo che ogni uomo deve rimanere fedele alla scelta del suo amore, e l’uomo che ama Dio non ha bisogno né di lacrime, né di ammirazione.</w:t>
      </w:r>
    </w:p>
    <w:p w:rsidR="00D732EE" w:rsidRDefault="00D732EE" w:rsidP="00DC3E80">
      <w:pPr>
        <w:spacing w:line="276" w:lineRule="auto"/>
        <w:rPr>
          <w:sz w:val="28"/>
          <w:szCs w:val="36"/>
        </w:rPr>
      </w:pPr>
    </w:p>
    <w:p w:rsidR="00D732EE" w:rsidRDefault="00D732EE" w:rsidP="00DC3E80">
      <w:pPr>
        <w:spacing w:line="276" w:lineRule="auto"/>
        <w:rPr>
          <w:sz w:val="28"/>
          <w:szCs w:val="36"/>
        </w:rPr>
      </w:pPr>
      <w:r>
        <w:rPr>
          <w:sz w:val="28"/>
          <w:szCs w:val="36"/>
        </w:rPr>
        <w:t>Il gesto di Abramo rivela l’essenza della fede. Quindi: la fede è il fondamento della morale, non la morale il fondamento della fede. La fede esige il salto che porta il credente fra le braccia di Dio.</w:t>
      </w:r>
    </w:p>
    <w:p w:rsidR="00D732EE" w:rsidRDefault="00D732EE" w:rsidP="00DC3E80">
      <w:pPr>
        <w:spacing w:line="276" w:lineRule="auto"/>
        <w:rPr>
          <w:sz w:val="28"/>
          <w:szCs w:val="36"/>
        </w:rPr>
      </w:pPr>
    </w:p>
    <w:p w:rsidR="00D732EE" w:rsidRDefault="00D732EE" w:rsidP="00DC3E80">
      <w:pPr>
        <w:spacing w:line="276" w:lineRule="auto"/>
        <w:rPr>
          <w:sz w:val="28"/>
          <w:szCs w:val="36"/>
        </w:rPr>
      </w:pPr>
      <w:r>
        <w:rPr>
          <w:sz w:val="28"/>
          <w:szCs w:val="36"/>
        </w:rPr>
        <w:t>Il vero credente, come Abramo, cammina al buio, si abbandona a Dio che vede e può tutto.</w:t>
      </w:r>
    </w:p>
    <w:p w:rsidR="00983801" w:rsidRDefault="00983801" w:rsidP="00DC3E80">
      <w:pPr>
        <w:spacing w:line="276" w:lineRule="auto"/>
        <w:rPr>
          <w:sz w:val="28"/>
          <w:szCs w:val="36"/>
        </w:rPr>
      </w:pPr>
    </w:p>
    <w:p w:rsidR="00983801" w:rsidRDefault="00983801" w:rsidP="00DC3E80">
      <w:pPr>
        <w:spacing w:line="276" w:lineRule="auto"/>
        <w:rPr>
          <w:sz w:val="28"/>
          <w:szCs w:val="36"/>
        </w:rPr>
      </w:pPr>
    </w:p>
    <w:p w:rsidR="00983801" w:rsidRPr="00983801" w:rsidRDefault="00983801" w:rsidP="00DC3E80">
      <w:pPr>
        <w:spacing w:line="276" w:lineRule="auto"/>
        <w:rPr>
          <w:smallCaps/>
          <w:sz w:val="28"/>
          <w:szCs w:val="36"/>
        </w:rPr>
      </w:pPr>
      <w:r>
        <w:rPr>
          <w:smallCaps/>
          <w:sz w:val="28"/>
          <w:szCs w:val="36"/>
        </w:rPr>
        <w:t>analisi testuale</w:t>
      </w:r>
    </w:p>
    <w:p w:rsidR="00983801" w:rsidRDefault="00983801" w:rsidP="00983801">
      <w:pPr>
        <w:spacing w:line="276" w:lineRule="auto"/>
        <w:rPr>
          <w:i/>
          <w:iCs/>
          <w:sz w:val="28"/>
          <w:szCs w:val="28"/>
        </w:rPr>
      </w:pPr>
    </w:p>
    <w:p w:rsidR="00983801" w:rsidRDefault="00983801" w:rsidP="00983801">
      <w:pPr>
        <w:spacing w:line="276" w:lineRule="auto"/>
        <w:rPr>
          <w:sz w:val="28"/>
          <w:szCs w:val="28"/>
        </w:rPr>
      </w:pPr>
      <w:r>
        <w:rPr>
          <w:i/>
          <w:iCs/>
          <w:sz w:val="28"/>
          <w:szCs w:val="28"/>
        </w:rPr>
        <w:t>Timore e tremore</w:t>
      </w:r>
      <w:r>
        <w:rPr>
          <w:sz w:val="28"/>
          <w:szCs w:val="28"/>
        </w:rPr>
        <w:t> è un’opera magistrale, perché offre una delle più interessanti considerazioni filosofiche su che cosa sia la fede in relazione alla ragione e alla morale.</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Ma all’interno di </w:t>
      </w:r>
      <w:r>
        <w:rPr>
          <w:i/>
          <w:iCs/>
          <w:sz w:val="28"/>
          <w:szCs w:val="28"/>
        </w:rPr>
        <w:t>Timore e tremore</w:t>
      </w:r>
      <w:r>
        <w:rPr>
          <w:sz w:val="28"/>
          <w:szCs w:val="28"/>
        </w:rPr>
        <w:t xml:space="preserve"> c’è anche una lucidissima e profondissima analisi sul valore e il significato di questo sacrificio, sulle conseguenze che da esso scaturirono, sull’immensa angoscia che questa scelta ha generato, ma soprattutto </w:t>
      </w:r>
      <w:r>
        <w:rPr>
          <w:sz w:val="28"/>
          <w:szCs w:val="28"/>
          <w:u w:val="single"/>
        </w:rPr>
        <w:t>sull’</w:t>
      </w:r>
      <w:r>
        <w:rPr>
          <w:bCs/>
          <w:i/>
          <w:iCs/>
          <w:sz w:val="28"/>
          <w:szCs w:val="28"/>
          <w:u w:val="single"/>
        </w:rPr>
        <w:t>inaudito</w:t>
      </w:r>
      <w:r>
        <w:rPr>
          <w:sz w:val="28"/>
          <w:szCs w:val="28"/>
          <w:u w:val="single"/>
        </w:rPr>
        <w:t> </w:t>
      </w:r>
      <w:r>
        <w:rPr>
          <w:bCs/>
          <w:sz w:val="28"/>
          <w:szCs w:val="28"/>
          <w:u w:val="single"/>
        </w:rPr>
        <w:t>paradosso della fede</w:t>
      </w:r>
      <w:r>
        <w:rPr>
          <w:sz w:val="28"/>
          <w:szCs w:val="28"/>
        </w:rPr>
        <w:t>, per cui l’Individuo si pone al di sopra del Generale.</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L’individuo, il Singolo, è superiore al generale, alla legge, alla norma, e nell’essere superiore entra in quella dimensione di rapporto assoluto con l’Assoluto.</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In </w:t>
      </w:r>
      <w:r>
        <w:rPr>
          <w:i/>
          <w:iCs/>
          <w:sz w:val="28"/>
          <w:szCs w:val="28"/>
        </w:rPr>
        <w:t>Timore e tremore</w:t>
      </w:r>
      <w:r>
        <w:rPr>
          <w:sz w:val="28"/>
          <w:szCs w:val="28"/>
        </w:rPr>
        <w:t xml:space="preserve"> il sentimento religioso emerge in tutta la sua forza ed evidenzia in prima battuta due concetti molto chiari.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1. La libertà di scelta che l’uomo possiede; 2. la terribile angoscia che può scaturire da questa grandissima libertà.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Abramo dovette fare una scelta tragica. Chi conosce il passo biblico in questione, saprà certamente che Isacco è stato un dono di Dio, un miracolo arrivato proprio quando Abramo e la moglie Sara non erano più in età di poter procreare.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Ecco dunque la grazia divina che offre ad Abramo la gioia di un figlio che gli garantirà una discendenza numerosa quante sono le stelle in cielo. Un giorno però, Dio decide di mettere alla prova la fede di Abramo e gli ordina di recarsi nel monte </w:t>
      </w:r>
      <w:proofErr w:type="spellStart"/>
      <w:r>
        <w:rPr>
          <w:sz w:val="28"/>
          <w:szCs w:val="28"/>
        </w:rPr>
        <w:t>Moriah</w:t>
      </w:r>
      <w:proofErr w:type="spellEnd"/>
      <w:r>
        <w:rPr>
          <w:sz w:val="28"/>
          <w:szCs w:val="28"/>
        </w:rPr>
        <w:t xml:space="preserve"> per sacrificare proprio quel suo unico figlio.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Il patriarca obbedisce e si prepara al terribile e assurdo gesto che se portato a termine andrà a invalidare proprio la promessa della discendenza fatta da Dio. </w:t>
      </w:r>
    </w:p>
    <w:p w:rsidR="00983801" w:rsidRDefault="00983801" w:rsidP="00983801">
      <w:pPr>
        <w:spacing w:line="276" w:lineRule="auto"/>
        <w:rPr>
          <w:sz w:val="28"/>
          <w:szCs w:val="28"/>
        </w:rPr>
      </w:pPr>
    </w:p>
    <w:p w:rsidR="00983801" w:rsidRDefault="00983801" w:rsidP="00983801">
      <w:pPr>
        <w:spacing w:line="276" w:lineRule="auto"/>
        <w:rPr>
          <w:sz w:val="28"/>
          <w:szCs w:val="28"/>
          <w:u w:val="single"/>
        </w:rPr>
      </w:pPr>
      <w:r>
        <w:rPr>
          <w:sz w:val="28"/>
          <w:szCs w:val="28"/>
        </w:rPr>
        <w:t>Giunto a destinazione, Abramo lega Isacco, lo pone sull’altare e mentre si appresta a compiere l’azione sente la voce di un angelo del Signore che gli intima di fermare la sua mano. Isacco non viene sacrificato. Abramo ha superato la prova. </w:t>
      </w:r>
      <w:r>
        <w:rPr>
          <w:bCs/>
          <w:sz w:val="28"/>
          <w:szCs w:val="28"/>
          <w:u w:val="single"/>
        </w:rPr>
        <w:t>Riavrà suo figlio per la seconda volta</w:t>
      </w:r>
      <w:r>
        <w:rPr>
          <w:sz w:val="28"/>
          <w:szCs w:val="28"/>
          <w:u w:val="single"/>
        </w:rPr>
        <w:t>.</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La questione è basilare ma viene liquidata facilmente tanto dagli atei quanto dai credenti. Dietro questa vicenda c’è un messaggio di portata inaudita che raramente viene colto, ma non in </w:t>
      </w:r>
      <w:r>
        <w:rPr>
          <w:i/>
          <w:iCs/>
          <w:sz w:val="28"/>
          <w:szCs w:val="28"/>
        </w:rPr>
        <w:t>Timore e tremore</w:t>
      </w:r>
      <w:r>
        <w:rPr>
          <w:sz w:val="28"/>
          <w:szCs w:val="28"/>
        </w:rPr>
        <w:t xml:space="preserve">, dove la disamina di questo fatto è minuziosa e approfondita.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Intanto c’è da fare chiarezza sull’espressione </w:t>
      </w:r>
      <w:proofErr w:type="spellStart"/>
      <w:r>
        <w:rPr>
          <w:sz w:val="28"/>
          <w:szCs w:val="28"/>
        </w:rPr>
        <w:t>etico-religiosa</w:t>
      </w:r>
      <w:proofErr w:type="spellEnd"/>
      <w:r>
        <w:rPr>
          <w:sz w:val="28"/>
          <w:szCs w:val="28"/>
        </w:rPr>
        <w:t xml:space="preserve"> del gesto di Abramo e qui K. è molto preciso. L’espressione etica per l’azione di Abramo è che egli voleva </w:t>
      </w:r>
      <w:r>
        <w:rPr>
          <w:bCs/>
          <w:i/>
          <w:iCs/>
          <w:sz w:val="28"/>
          <w:szCs w:val="28"/>
          <w:u w:val="single"/>
        </w:rPr>
        <w:t>uccidere</w:t>
      </w:r>
      <w:r>
        <w:rPr>
          <w:sz w:val="28"/>
          <w:szCs w:val="28"/>
          <w:u w:val="single"/>
        </w:rPr>
        <w:t> </w:t>
      </w:r>
      <w:r>
        <w:rPr>
          <w:sz w:val="28"/>
          <w:szCs w:val="28"/>
        </w:rPr>
        <w:t>Isacco, l’espressione religiosa è che egli voleva </w:t>
      </w:r>
      <w:r>
        <w:rPr>
          <w:bCs/>
          <w:i/>
          <w:iCs/>
          <w:sz w:val="28"/>
          <w:szCs w:val="28"/>
          <w:u w:val="single"/>
        </w:rPr>
        <w:t>sacrificare</w:t>
      </w:r>
      <w:r>
        <w:rPr>
          <w:sz w:val="28"/>
          <w:szCs w:val="28"/>
        </w:rPr>
        <w:t xml:space="preserve"> Isacco.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Ma in questa contraddizione si trova precisamente l’angoscia che può certamente rendere un uomo insonne. </w:t>
      </w:r>
    </w:p>
    <w:p w:rsidR="00983801" w:rsidRDefault="00983801" w:rsidP="00983801">
      <w:pPr>
        <w:spacing w:line="276" w:lineRule="auto"/>
        <w:rPr>
          <w:sz w:val="28"/>
          <w:szCs w:val="28"/>
        </w:rPr>
      </w:pPr>
      <w:r>
        <w:rPr>
          <w:sz w:val="28"/>
          <w:szCs w:val="28"/>
        </w:rPr>
        <w:t xml:space="preserve">È qui che s’innesca il primo terribile contrasto. </w:t>
      </w:r>
    </w:p>
    <w:p w:rsidR="00983801" w:rsidRDefault="00983801" w:rsidP="00983801">
      <w:pPr>
        <w:spacing w:line="276" w:lineRule="auto"/>
        <w:rPr>
          <w:sz w:val="28"/>
          <w:szCs w:val="28"/>
        </w:rPr>
      </w:pPr>
      <w:r>
        <w:rPr>
          <w:sz w:val="28"/>
          <w:szCs w:val="28"/>
        </w:rPr>
        <w:t xml:space="preserve">Egli è un omicida mancato per un pelo, oppure il migliore dei figli di Dio? </w:t>
      </w:r>
    </w:p>
    <w:p w:rsidR="00983801" w:rsidRDefault="00983801" w:rsidP="00983801">
      <w:pPr>
        <w:spacing w:line="276" w:lineRule="auto"/>
        <w:rPr>
          <w:sz w:val="28"/>
          <w:szCs w:val="28"/>
        </w:rPr>
      </w:pPr>
      <w:r>
        <w:rPr>
          <w:sz w:val="28"/>
          <w:szCs w:val="28"/>
        </w:rPr>
        <w:t>K. non ha dubbi. Ammira il gesto di Abramo, lo esalta, lo capisce, non lo condanna ma dice: “io non sono in grado di fare il movimento della fede: non posso chiudere gli occhi e precipitarmi fiducioso nelle braccia dell’assurdo, questo è per me impossibile ma non me ne vanto”.</w:t>
      </w:r>
    </w:p>
    <w:p w:rsidR="00983801" w:rsidRDefault="00983801" w:rsidP="00983801">
      <w:pPr>
        <w:spacing w:line="276" w:lineRule="auto"/>
        <w:rPr>
          <w:sz w:val="28"/>
          <w:szCs w:val="28"/>
        </w:rPr>
      </w:pPr>
    </w:p>
    <w:p w:rsidR="00983801" w:rsidRDefault="00983801" w:rsidP="00983801">
      <w:pPr>
        <w:spacing w:line="276" w:lineRule="auto"/>
        <w:rPr>
          <w:bCs/>
          <w:sz w:val="28"/>
          <w:szCs w:val="28"/>
          <w:u w:val="single"/>
        </w:rPr>
      </w:pPr>
      <w:r>
        <w:rPr>
          <w:sz w:val="28"/>
          <w:szCs w:val="28"/>
        </w:rPr>
        <w:t>Con la sola ragione K. arriva a pensare a Dio ma non riesce a credergli. E perché non ci riesce? </w:t>
      </w:r>
      <w:r>
        <w:rPr>
          <w:bCs/>
          <w:sz w:val="28"/>
          <w:szCs w:val="28"/>
          <w:u w:val="single"/>
        </w:rPr>
        <w:t>Perché Dio è al di là della stessa ragione. Dio non fonda nessuna etica perché è al di là di qualunque etica.</w:t>
      </w:r>
    </w:p>
    <w:p w:rsidR="00983801" w:rsidRDefault="00983801" w:rsidP="00983801">
      <w:pPr>
        <w:spacing w:line="276" w:lineRule="auto"/>
        <w:rPr>
          <w:sz w:val="28"/>
          <w:szCs w:val="28"/>
          <w:u w:val="single"/>
        </w:rPr>
      </w:pPr>
    </w:p>
    <w:p w:rsidR="00983801" w:rsidRDefault="00983801" w:rsidP="00983801">
      <w:pPr>
        <w:spacing w:line="276" w:lineRule="auto"/>
        <w:rPr>
          <w:sz w:val="28"/>
          <w:szCs w:val="28"/>
        </w:rPr>
      </w:pPr>
      <w:r>
        <w:rPr>
          <w:sz w:val="28"/>
          <w:szCs w:val="28"/>
        </w:rPr>
        <w:t xml:space="preserve">Questa è una dimensione riservata solo alla fede. Per il pensatore danese la stessa infinita essenza e potenza di Dio non può essere né compresa né colta in modo razionale.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Un filosofo cristiano è riuscito a riassumere in maniera così efficace quello che non si trova in centinaia di pagine teologiche. Dio è al di là dell’etica e della ragione. Punto.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Analizzando il testo si evince come in maniera estremamente convincente egli risponda passo dopo passo a tre quesiti fondamentali.</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lastRenderedPageBreak/>
        <w:t>– Esiste una sospensione teologica della morale?</w:t>
      </w:r>
    </w:p>
    <w:p w:rsidR="00983801" w:rsidRDefault="00983801" w:rsidP="00983801">
      <w:pPr>
        <w:spacing w:line="276" w:lineRule="auto"/>
        <w:rPr>
          <w:sz w:val="28"/>
          <w:szCs w:val="28"/>
        </w:rPr>
      </w:pPr>
      <w:r>
        <w:rPr>
          <w:sz w:val="28"/>
          <w:szCs w:val="28"/>
        </w:rPr>
        <w:t>– Esiste un dovere assoluto verso Dio?</w:t>
      </w:r>
    </w:p>
    <w:p w:rsidR="00983801" w:rsidRDefault="00983801" w:rsidP="00983801">
      <w:pPr>
        <w:spacing w:line="276" w:lineRule="auto"/>
        <w:rPr>
          <w:sz w:val="28"/>
          <w:szCs w:val="28"/>
        </w:rPr>
      </w:pPr>
      <w:r>
        <w:rPr>
          <w:sz w:val="28"/>
          <w:szCs w:val="28"/>
        </w:rPr>
        <w:t xml:space="preserve">– Si può giustificare moralmente il silenzio di Abramo con Sara, </w:t>
      </w:r>
      <w:proofErr w:type="spellStart"/>
      <w:r>
        <w:rPr>
          <w:sz w:val="28"/>
          <w:szCs w:val="28"/>
        </w:rPr>
        <w:t>Elizer</w:t>
      </w:r>
      <w:proofErr w:type="spellEnd"/>
      <w:r>
        <w:rPr>
          <w:sz w:val="28"/>
          <w:szCs w:val="28"/>
        </w:rPr>
        <w:t xml:space="preserve"> e Isacco?</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Il filosofo danese dà tre risposte affermative.</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Ma perché Abramo non è da considerare un assassino? Perché, nonostante egli sia pronto a far cadere il pugnale su suo figlio e a macchiarsi, attraverso il più terribile dei crimini di quel sangue innocente, noi non lo condanniamo?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Kierkegaard afferma che se si considera solo il punto di vista dell’etica il gesto di Abramo è chiaramente condannabile da chiunque, ma ribadisce subito dopo che questo gesto può essere compreso solo ed esclusivamente dal punto di vista della fede, che lui definisce la passione più grande dell’uomo.</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Affacciarsi a Dio equivale a gettare uno sguardo sull’abisso. Questo saltare nel vuoto, questo creare una relazione da vivere in sincera e intima solitudine, sono tutti gesti necessari, figli proprio di quello sguardo. Dello sguardo di Dio.</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Nessuno potrebbe essere Abramo. Egli è l’unico uomo capace di fare il vero “movimento della fede”, conscio che perdendo suo figlio perderebbe tutto, con l’ulteriore beffa di sopravvivere a se stesso. Ecco il grande concetto di K. dell’</w:t>
      </w:r>
      <w:r>
        <w:rPr>
          <w:bCs/>
          <w:sz w:val="28"/>
          <w:szCs w:val="28"/>
        </w:rPr>
        <w:t>Individuo</w:t>
      </w:r>
      <w:r>
        <w:rPr>
          <w:sz w:val="28"/>
          <w:szCs w:val="28"/>
        </w:rPr>
        <w:t>, del </w:t>
      </w:r>
      <w:r>
        <w:rPr>
          <w:bCs/>
          <w:sz w:val="28"/>
          <w:szCs w:val="28"/>
        </w:rPr>
        <w:t>Singolo</w:t>
      </w:r>
      <w:r>
        <w:rPr>
          <w:sz w:val="28"/>
          <w:szCs w:val="28"/>
        </w:rPr>
        <w:t> che deve porsi più in alto del </w:t>
      </w:r>
      <w:r>
        <w:rPr>
          <w:bCs/>
          <w:sz w:val="28"/>
          <w:szCs w:val="28"/>
        </w:rPr>
        <w:t>Generale</w:t>
      </w:r>
      <w:r>
        <w:rPr>
          <w:sz w:val="28"/>
          <w:szCs w:val="28"/>
        </w:rPr>
        <w:t>, </w:t>
      </w:r>
      <w:r>
        <w:rPr>
          <w:bCs/>
          <w:sz w:val="28"/>
          <w:szCs w:val="28"/>
        </w:rPr>
        <w:t>come sacrificio e non come atto eroico</w:t>
      </w:r>
      <w:r>
        <w:rPr>
          <w:sz w:val="28"/>
          <w:szCs w:val="28"/>
        </w:rPr>
        <w:t xml:space="preserv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Ha ragione K. a definire la condizione di Abramo abissale; una condizione che fa impazzire, una condizione così spaventosa da non poterne quasi parlare.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Le sole parole di Abramo (escluse quelle rivolte ai due servi), dopo tre lunghi giorni di cammino, una volta giunti a destinazione, su domanda di Isacco che non scorge l’ariete da sacrificare saranno: </w:t>
      </w:r>
      <w:r>
        <w:rPr>
          <w:bCs/>
          <w:i/>
          <w:iCs/>
          <w:sz w:val="28"/>
          <w:szCs w:val="28"/>
        </w:rPr>
        <w:t>“Figlio mio, Dio si provvederà da sé l’agnello per l’olocausto”</w:t>
      </w:r>
      <w:r>
        <w:rPr>
          <w:sz w:val="28"/>
          <w:szCs w:val="28"/>
        </w:rPr>
        <w:t xml:space="preserv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 xml:space="preserve">La battuta suprema, la frase ultima e ineguagliabile, che, dice K., se fosse stata diversa tutto si sarebbe risolto in confusione. </w:t>
      </w:r>
    </w:p>
    <w:p w:rsidR="00983801" w:rsidRDefault="00983801" w:rsidP="00983801">
      <w:pPr>
        <w:spacing w:line="276" w:lineRule="auto"/>
        <w:rPr>
          <w:sz w:val="28"/>
          <w:szCs w:val="28"/>
        </w:rPr>
      </w:pPr>
    </w:p>
    <w:p w:rsidR="00983801" w:rsidRDefault="00983801" w:rsidP="00983801">
      <w:pPr>
        <w:spacing w:line="276" w:lineRule="auto"/>
        <w:rPr>
          <w:sz w:val="28"/>
          <w:szCs w:val="28"/>
        </w:rPr>
      </w:pPr>
      <w:r>
        <w:rPr>
          <w:sz w:val="28"/>
          <w:szCs w:val="28"/>
        </w:rPr>
        <w:t>Nessuno </w:t>
      </w:r>
      <w:r>
        <w:rPr>
          <w:i/>
          <w:iCs/>
          <w:sz w:val="28"/>
          <w:szCs w:val="28"/>
        </w:rPr>
        <w:t>avrebbe potuto</w:t>
      </w:r>
      <w:r>
        <w:rPr>
          <w:sz w:val="28"/>
          <w:szCs w:val="28"/>
        </w:rPr>
        <w:t> </w:t>
      </w:r>
      <w:r>
        <w:rPr>
          <w:i/>
          <w:iCs/>
          <w:sz w:val="28"/>
          <w:szCs w:val="28"/>
        </w:rPr>
        <w:t>e potrebbe </w:t>
      </w:r>
      <w:r>
        <w:rPr>
          <w:sz w:val="28"/>
          <w:szCs w:val="28"/>
        </w:rPr>
        <w:t>mai essere Abramo, certo. Ma è anche vero nessuno </w:t>
      </w:r>
      <w:r>
        <w:rPr>
          <w:i/>
          <w:iCs/>
          <w:sz w:val="28"/>
          <w:szCs w:val="28"/>
        </w:rPr>
        <w:t>avrebbe voluto</w:t>
      </w:r>
      <w:r>
        <w:rPr>
          <w:sz w:val="28"/>
          <w:szCs w:val="28"/>
        </w:rPr>
        <w:t> e </w:t>
      </w:r>
      <w:r>
        <w:rPr>
          <w:i/>
          <w:iCs/>
          <w:sz w:val="28"/>
          <w:szCs w:val="28"/>
        </w:rPr>
        <w:t>vorrebbe </w:t>
      </w:r>
      <w:r>
        <w:rPr>
          <w:sz w:val="28"/>
          <w:szCs w:val="28"/>
        </w:rPr>
        <w:t xml:space="preserve">mai esserlo. Bisogna essere un dio per poter sacrificare il proprio figlio. Onestamente dobbiamo riconoscere una cosa: Abramo è stato lì, a un </w:t>
      </w:r>
      <w:r>
        <w:rPr>
          <w:sz w:val="28"/>
          <w:szCs w:val="28"/>
        </w:rPr>
        <w:lastRenderedPageBreak/>
        <w:t xml:space="preserve">passo, come mai nessun’altro, lì vicino, spaventosamente prossimo alla misteriosa e terribile </w:t>
      </w:r>
      <w:proofErr w:type="spellStart"/>
      <w:r>
        <w:rPr>
          <w:sz w:val="28"/>
          <w:szCs w:val="28"/>
        </w:rPr>
        <w:t>insondabilità</w:t>
      </w:r>
      <w:proofErr w:type="spellEnd"/>
      <w:r>
        <w:rPr>
          <w:sz w:val="28"/>
          <w:szCs w:val="28"/>
        </w:rPr>
        <w:t xml:space="preserve"> di Dio.</w:t>
      </w:r>
    </w:p>
    <w:p w:rsidR="00983801" w:rsidRDefault="00983801" w:rsidP="00983801">
      <w:pPr>
        <w:spacing w:line="276" w:lineRule="auto"/>
        <w:rPr>
          <w:sz w:val="28"/>
          <w:szCs w:val="28"/>
        </w:rPr>
      </w:pPr>
    </w:p>
    <w:p w:rsidR="00983801" w:rsidRPr="00DC3E80" w:rsidRDefault="00983801" w:rsidP="00DC3E80">
      <w:pPr>
        <w:spacing w:line="276" w:lineRule="auto"/>
        <w:rPr>
          <w:sz w:val="28"/>
          <w:szCs w:val="36"/>
        </w:rPr>
      </w:pPr>
    </w:p>
    <w:p w:rsidR="00DC3E80" w:rsidRDefault="00DC3E80" w:rsidP="00DC3E80">
      <w:pPr>
        <w:jc w:val="center"/>
        <w:rPr>
          <w:b/>
          <w:sz w:val="36"/>
          <w:szCs w:val="36"/>
        </w:rPr>
      </w:pPr>
    </w:p>
    <w:p w:rsidR="00DC3E80" w:rsidRPr="00DC3E80" w:rsidRDefault="00DC3E80" w:rsidP="00DC3E80">
      <w:pPr>
        <w:rPr>
          <w:b/>
          <w:sz w:val="28"/>
          <w:szCs w:val="28"/>
        </w:rPr>
      </w:pPr>
    </w:p>
    <w:sectPr w:rsidR="00DC3E80" w:rsidRPr="00DC3E80" w:rsidSect="00A22DBE">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AC" w:rsidRDefault="009A1DAC" w:rsidP="00043460">
      <w:r>
        <w:separator/>
      </w:r>
    </w:p>
  </w:endnote>
  <w:endnote w:type="continuationSeparator" w:id="0">
    <w:p w:rsidR="009A1DAC" w:rsidRDefault="009A1DAC" w:rsidP="0004346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93360"/>
      <w:docPartObj>
        <w:docPartGallery w:val="Page Numbers (Bottom of Page)"/>
        <w:docPartUnique/>
      </w:docPartObj>
    </w:sdtPr>
    <w:sdtEndPr>
      <w:rPr>
        <w:sz w:val="18"/>
      </w:rPr>
    </w:sdtEndPr>
    <w:sdtContent>
      <w:p w:rsidR="00043460" w:rsidRPr="00043460" w:rsidRDefault="00043460">
        <w:pPr>
          <w:pStyle w:val="Pidipagina"/>
          <w:jc w:val="right"/>
          <w:rPr>
            <w:sz w:val="18"/>
          </w:rPr>
        </w:pPr>
        <w:r w:rsidRPr="00043460">
          <w:rPr>
            <w:sz w:val="18"/>
          </w:rPr>
          <w:fldChar w:fldCharType="begin"/>
        </w:r>
        <w:r w:rsidRPr="00043460">
          <w:rPr>
            <w:sz w:val="18"/>
          </w:rPr>
          <w:instrText xml:space="preserve"> PAGE   \* MERGEFORMAT </w:instrText>
        </w:r>
        <w:r w:rsidRPr="00043460">
          <w:rPr>
            <w:sz w:val="18"/>
          </w:rPr>
          <w:fldChar w:fldCharType="separate"/>
        </w:r>
        <w:r>
          <w:rPr>
            <w:noProof/>
            <w:sz w:val="18"/>
          </w:rPr>
          <w:t>1</w:t>
        </w:r>
        <w:r w:rsidRPr="00043460">
          <w:rPr>
            <w:sz w:val="18"/>
          </w:rPr>
          <w:fldChar w:fldCharType="end"/>
        </w:r>
      </w:p>
    </w:sdtContent>
  </w:sdt>
  <w:p w:rsidR="00043460" w:rsidRDefault="0004346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AC" w:rsidRDefault="009A1DAC" w:rsidP="00043460">
      <w:r>
        <w:separator/>
      </w:r>
    </w:p>
  </w:footnote>
  <w:footnote w:type="continuationSeparator" w:id="0">
    <w:p w:rsidR="009A1DAC" w:rsidRDefault="009A1DAC" w:rsidP="00043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defaultTabStop w:val="708"/>
  <w:hyphenationZone w:val="283"/>
  <w:characterSpacingControl w:val="doNotCompress"/>
  <w:footnotePr>
    <w:footnote w:id="-1"/>
    <w:footnote w:id="0"/>
  </w:footnotePr>
  <w:endnotePr>
    <w:endnote w:id="-1"/>
    <w:endnote w:id="0"/>
  </w:endnotePr>
  <w:compat/>
  <w:rsids>
    <w:rsidRoot w:val="00DC3E80"/>
    <w:rsid w:val="000418F7"/>
    <w:rsid w:val="00043460"/>
    <w:rsid w:val="0027062B"/>
    <w:rsid w:val="00330393"/>
    <w:rsid w:val="005118D7"/>
    <w:rsid w:val="007E124C"/>
    <w:rsid w:val="00983801"/>
    <w:rsid w:val="009A1DAC"/>
    <w:rsid w:val="009E495E"/>
    <w:rsid w:val="00A22DBE"/>
    <w:rsid w:val="00A90611"/>
    <w:rsid w:val="00AC1B2C"/>
    <w:rsid w:val="00B22B0E"/>
    <w:rsid w:val="00D732EE"/>
    <w:rsid w:val="00DC3E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D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83801"/>
    <w:rPr>
      <w:color w:val="0000FF" w:themeColor="hyperlink"/>
      <w:u w:val="single"/>
    </w:rPr>
  </w:style>
  <w:style w:type="paragraph" w:styleId="Intestazione">
    <w:name w:val="header"/>
    <w:basedOn w:val="Normale"/>
    <w:link w:val="IntestazioneCarattere"/>
    <w:uiPriority w:val="99"/>
    <w:semiHidden/>
    <w:unhideWhenUsed/>
    <w:rsid w:val="0004346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43460"/>
  </w:style>
  <w:style w:type="paragraph" w:styleId="Pidipagina">
    <w:name w:val="footer"/>
    <w:basedOn w:val="Normale"/>
    <w:link w:val="PidipaginaCarattere"/>
    <w:uiPriority w:val="99"/>
    <w:unhideWhenUsed/>
    <w:rsid w:val="00043460"/>
    <w:pPr>
      <w:tabs>
        <w:tab w:val="center" w:pos="4819"/>
        <w:tab w:val="right" w:pos="9638"/>
      </w:tabs>
    </w:pPr>
  </w:style>
  <w:style w:type="character" w:customStyle="1" w:styleId="PidipaginaCarattere">
    <w:name w:val="Piè di pagina Carattere"/>
    <w:basedOn w:val="Carpredefinitoparagrafo"/>
    <w:link w:val="Pidipagina"/>
    <w:uiPriority w:val="99"/>
    <w:rsid w:val="00043460"/>
  </w:style>
</w:styles>
</file>

<file path=word/webSettings.xml><?xml version="1.0" encoding="utf-8"?>
<w:webSettings xmlns:r="http://schemas.openxmlformats.org/officeDocument/2006/relationships" xmlns:w="http://schemas.openxmlformats.org/wordprocessingml/2006/main">
  <w:divs>
    <w:div w:id="18737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1252</Words>
  <Characters>7142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2018-11-29T22:33:00Z</dcterms:created>
  <dcterms:modified xsi:type="dcterms:W3CDTF">2019-01-12T00:05:00Z</dcterms:modified>
</cp:coreProperties>
</file>