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C9F9C" w14:textId="0D815016" w:rsidR="0036793A" w:rsidRPr="00A33B0C" w:rsidRDefault="0036793A" w:rsidP="00A33B0C">
      <w:pPr>
        <w:jc w:val="center"/>
        <w:rPr>
          <w:rFonts w:ascii="Times New Roman" w:hAnsi="Times New Roman" w:cs="Times New Roman"/>
          <w:b/>
          <w:bCs/>
          <w:sz w:val="24"/>
          <w:szCs w:val="24"/>
        </w:rPr>
      </w:pPr>
      <w:r w:rsidRPr="00A33B0C">
        <w:rPr>
          <w:rFonts w:ascii="Times New Roman" w:hAnsi="Times New Roman" w:cs="Times New Roman"/>
          <w:b/>
          <w:bCs/>
          <w:sz w:val="24"/>
          <w:szCs w:val="24"/>
        </w:rPr>
        <w:t>3. Verso un cristianesimo della libertà e della grazia</w:t>
      </w:r>
    </w:p>
    <w:p w14:paraId="0613F739"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Questa prima parte ci ha fornito le chiavi per comprendere come un cambiamento di epoca chieda alla comunità ecclesiale un cambiamento di paradigma pastorale. In questo cambio di paradigma pastorale sono in gioco vari elementi, come abbiamo visto. Certamente il più rilevante è quello della figura di cristianesimo e di fede. Siamo alla ricerca, per noi e per gli altri, di una figura di fede “culturalmente abitabile, vivibile, sensata e desiderabile” in questo contesto, segnato ormai in modo definitivo dalla pluralità, dalla biodiversità. </w:t>
      </w:r>
    </w:p>
    <w:p w14:paraId="46FFE720"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3.1 Quale figura di fede in un contesto plurale? Dal dovere alla grazia </w:t>
      </w:r>
    </w:p>
    <w:p w14:paraId="625290E9"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La questione fondamentale della catechesi, infatti, non sta nel metodo (che pure è molto importante), non sta neppure nel contenuto (che pure è essenziale), ma nella la figura di fede che viviamo e l’esperienza di chiesa che facciamo sperimentare. </w:t>
      </w:r>
    </w:p>
    <w:p w14:paraId="148E3621"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Partiamo dunque da qui: quale figura di fede ci connota e di conseguenza quale figura di fede noi proponiamo inconsapevolmente nella nostra testimonianza credente. </w:t>
      </w:r>
    </w:p>
    <w:p w14:paraId="2EBF50A7"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Per farlo occorre essere consapevoli del contesto educativo da cui veniamo. </w:t>
      </w:r>
    </w:p>
    <w:p w14:paraId="7C85E723"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 Noi veniamo da un cristianesimo del dovere. Dire fede cristiana era dire fondamentalmente tre cose: la dottrina (le cose che bisogna sapere); le pratiche religiose (le funzioni a cui bisogna partecipare, in primis la messa domenicale, sotto pena di peccato mortale; confessarsi almeno una volta all’anno e comunicarsi almeno a Pasqua); i comandamenti (quello che si deve fare e non si può fare). Al centro c’era il dovere. Questo modo di concepire e vivere la fede era in sintonia con una cultura dell’ordine, una società gerarchicamente costituita, nella quale si era educati a onorare gli imperativi, a assolvere con fedeltà i propri compiti, a eseguire gli ordini ricevuti, a rispettare la conformità dei comportamenti. In questa cultura il cristianesimo era apprezzato come un contributo decisivo della convivenza e della stabilità sociale. Uno strato di noi tutti è indelebilmente costituito da questa figura di fede. Il cristianesimo è la religione dei doveri, verso Dio e verso gli altri. Quando incontriamo degli adulti in Europa, ad esempio, è questa fede che loro hanno ereditato e che hanno sperimentato nella Chiesa. È anche la figura di fede che ha portato molti ad allontanarsi dalla Chiesa, soprattutto i giovani. </w:t>
      </w:r>
    </w:p>
    <w:p w14:paraId="606F3798" w14:textId="66B827A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 Ma c’è un secondo strato. Quello di una figura di fede nata nel periodo del Concilio e sviluppatasi negli anni successivi: il cristianesimo dell’impegno, delle cause, delle sfide umanitarie e sociopolitiche, delle organizzazioni caritative, del servizio verso i più poveri. Questa forma di fede ha segnato un passaggio importante rispetto alla prima, senza soppiantarla, anche in questo caso un passaggio culturalmente segnato. Eravamo in un contesto caratterizzato da una grande fiducia nello sviluppo umano, dall’ottimismo rispetto a quello che la forza di un uomo può fare, all’immagine di un futuro caratterizzato dal progresso inarrestabile e dal benessere. Questo cristianesimo resta in noi come </w:t>
      </w:r>
      <w:proofErr w:type="gramStart"/>
      <w:r w:rsidRPr="00A33B0C">
        <w:rPr>
          <w:rFonts w:ascii="Times New Roman" w:hAnsi="Times New Roman" w:cs="Times New Roman"/>
          <w:sz w:val="24"/>
          <w:szCs w:val="24"/>
        </w:rPr>
        <w:t>una strato</w:t>
      </w:r>
      <w:proofErr w:type="gramEnd"/>
      <w:r w:rsidRPr="00A33B0C">
        <w:rPr>
          <w:rFonts w:ascii="Times New Roman" w:hAnsi="Times New Roman" w:cs="Times New Roman"/>
          <w:sz w:val="24"/>
          <w:szCs w:val="24"/>
        </w:rPr>
        <w:t xml:space="preserve"> secondo: noi siamo i cristiani allo stesso tempo del dovere e dell’impegno, quelli dei comandamenti e della generosità senza limiti. Abbiamo un forte senso del dovere (è il primo strato) e sentiamo che ci dobbiamo spendere per gli altri fino in fondo (è il secondo strato), in nome del vangelo. La nostra pastorale è evidentemente segnata da questo orizzonte. Questo senso del dovere unito a quello della dedizione è stato un grande dono, ha operato tanto bene in noi e nelle comunità e qualche volta ci ha anche fatto perdere l’equilibrio. Ci siamo impegnati totalmente per gli altri, trascurando la formazione personale e il tempo necessario per prendersi cura di noi stessi. Questo è andato a scapito qualche volta anche della serenità personale, della propria vocazione, della propria famiglia. </w:t>
      </w:r>
      <w:r w:rsidRPr="00A33B0C">
        <w:rPr>
          <w:rFonts w:ascii="Times New Roman" w:hAnsi="Times New Roman" w:cs="Times New Roman"/>
          <w:sz w:val="24"/>
          <w:szCs w:val="24"/>
        </w:rPr>
        <w:t xml:space="preserve"> </w:t>
      </w:r>
      <w:r w:rsidRPr="00A33B0C">
        <w:rPr>
          <w:rFonts w:ascii="Times New Roman" w:hAnsi="Times New Roman" w:cs="Times New Roman"/>
          <w:sz w:val="24"/>
          <w:szCs w:val="24"/>
        </w:rPr>
        <w:t xml:space="preserve">La maggioranza dei cristiani in tutte le parti del mondo ha questa esperienza di fede: essa è una questione di dovere e di impegno. </w:t>
      </w:r>
    </w:p>
    <w:p w14:paraId="25B4BA41"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lastRenderedPageBreak/>
        <w:t xml:space="preserve">- Ora questo modo di intendere la fede (dovere e impegno) non risulta più attraente, non è più sentito come rispondente alle esigenze profonde delle persone di oggi, noi compresi. Perché? Perché siamo in crisi rispetto a quelle due culture caratterizzate dal dovere e dall’impegno. Non è più l’epoca della stabilità e della conformità; non è più quella del sogno della trasformazione del mondo sulla base di un ottimismo senza limiti nelle forze umane. Al dovere è subentrata la libertà, all’onnipotenza il senso del limite. La cultura del dovere ha lasciato spazio a quella della libertà, con il rischio, certo, di una libertà vuota (una libertà ‘da’, senza essere accompagnata da una libertà ‘di’, ‘per’ e ‘con’). La cultura dell’impegno, dopo il disincanto, ha fatto emergere un desiderio più pacato di cura, prima di tutto per </w:t>
      </w:r>
      <w:proofErr w:type="gramStart"/>
      <w:r w:rsidRPr="00A33B0C">
        <w:rPr>
          <w:rFonts w:ascii="Times New Roman" w:hAnsi="Times New Roman" w:cs="Times New Roman"/>
          <w:sz w:val="24"/>
          <w:szCs w:val="24"/>
        </w:rPr>
        <w:t>se</w:t>
      </w:r>
      <w:proofErr w:type="gramEnd"/>
      <w:r w:rsidRPr="00A33B0C">
        <w:rPr>
          <w:rFonts w:ascii="Times New Roman" w:hAnsi="Times New Roman" w:cs="Times New Roman"/>
          <w:sz w:val="24"/>
          <w:szCs w:val="24"/>
        </w:rPr>
        <w:t xml:space="preserve"> stessi, per la natura, per il futuro del nostro pianeta, per la nostra umanità. Con il rischio, certo, di ripiegamento sul soggetto e sul suo benessere individuale (narcisismo). Al di là dei rischi culturali (che non possiamo sottovalutare) sentiamo oggi la necessità di una visione meno volontaristica, meno onnipotente, più consapevole del male che ci possiamo fare, in fondo più bisognosa di salvezza. </w:t>
      </w:r>
    </w:p>
    <w:p w14:paraId="215A2901"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Quale figura di fede sarà dunque oggi culturalmente abitabile, per noi e per le persone che incontriamo? Il problema non è infatti solo per gli altri, ma prima di tutto per noi. </w:t>
      </w:r>
    </w:p>
    <w:p w14:paraId="1AE3D997"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Quale fede può farci vivere questo tempo del disincanto, della riscoperta della fragilità umana, del rischio della disumanizzazione, della perdita di memoria e di speranza? </w:t>
      </w:r>
    </w:p>
    <w:p w14:paraId="321F419C"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Quale fede può </w:t>
      </w:r>
      <w:proofErr w:type="spellStart"/>
      <w:r w:rsidRPr="00A33B0C">
        <w:rPr>
          <w:rFonts w:ascii="Times New Roman" w:hAnsi="Times New Roman" w:cs="Times New Roman"/>
          <w:sz w:val="24"/>
          <w:szCs w:val="24"/>
        </w:rPr>
        <w:t>reincantare</w:t>
      </w:r>
      <w:proofErr w:type="spellEnd"/>
      <w:r w:rsidRPr="00A33B0C">
        <w:rPr>
          <w:rFonts w:ascii="Times New Roman" w:hAnsi="Times New Roman" w:cs="Times New Roman"/>
          <w:sz w:val="24"/>
          <w:szCs w:val="24"/>
        </w:rPr>
        <w:t xml:space="preserve"> la cultura occidentale dopo il disincanto? </w:t>
      </w:r>
    </w:p>
    <w:p w14:paraId="7424C9A5"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 Papa Francesco ha portato il baricentro della fede su un altro punto fermo, che non è né il dovere né l’impegno. Basta guardare i titoli dei suoi tre testi programmatici: </w:t>
      </w:r>
      <w:proofErr w:type="spellStart"/>
      <w:r w:rsidRPr="00A33B0C">
        <w:rPr>
          <w:rFonts w:ascii="Times New Roman" w:hAnsi="Times New Roman" w:cs="Times New Roman"/>
          <w:sz w:val="24"/>
          <w:szCs w:val="24"/>
        </w:rPr>
        <w:t>Evangelii</w:t>
      </w:r>
      <w:proofErr w:type="spellEnd"/>
      <w:r w:rsidRPr="00A33B0C">
        <w:rPr>
          <w:rFonts w:ascii="Times New Roman" w:hAnsi="Times New Roman" w:cs="Times New Roman"/>
          <w:sz w:val="24"/>
          <w:szCs w:val="24"/>
        </w:rPr>
        <w:t xml:space="preserve"> gaudium; Laudato </w:t>
      </w:r>
      <w:proofErr w:type="spellStart"/>
      <w:r w:rsidRPr="00A33B0C">
        <w:rPr>
          <w:rFonts w:ascii="Times New Roman" w:hAnsi="Times New Roman" w:cs="Times New Roman"/>
          <w:sz w:val="24"/>
          <w:szCs w:val="24"/>
        </w:rPr>
        <w:t>si’</w:t>
      </w:r>
      <w:proofErr w:type="spellEnd"/>
      <w:r w:rsidRPr="00A33B0C">
        <w:rPr>
          <w:rFonts w:ascii="Times New Roman" w:hAnsi="Times New Roman" w:cs="Times New Roman"/>
          <w:sz w:val="24"/>
          <w:szCs w:val="24"/>
        </w:rPr>
        <w:t xml:space="preserve">; </w:t>
      </w:r>
      <w:proofErr w:type="spellStart"/>
      <w:r w:rsidRPr="00A33B0C">
        <w:rPr>
          <w:rFonts w:ascii="Times New Roman" w:hAnsi="Times New Roman" w:cs="Times New Roman"/>
          <w:sz w:val="24"/>
          <w:szCs w:val="24"/>
        </w:rPr>
        <w:t>Amoris</w:t>
      </w:r>
      <w:proofErr w:type="spellEnd"/>
      <w:r w:rsidRPr="00A33B0C">
        <w:rPr>
          <w:rFonts w:ascii="Times New Roman" w:hAnsi="Times New Roman" w:cs="Times New Roman"/>
          <w:sz w:val="24"/>
          <w:szCs w:val="24"/>
        </w:rPr>
        <w:t xml:space="preserve"> </w:t>
      </w:r>
      <w:proofErr w:type="spellStart"/>
      <w:r w:rsidRPr="00A33B0C">
        <w:rPr>
          <w:rFonts w:ascii="Times New Roman" w:hAnsi="Times New Roman" w:cs="Times New Roman"/>
          <w:sz w:val="24"/>
          <w:szCs w:val="24"/>
        </w:rPr>
        <w:t>laetitia</w:t>
      </w:r>
      <w:proofErr w:type="spellEnd"/>
      <w:r w:rsidRPr="00A33B0C">
        <w:rPr>
          <w:rFonts w:ascii="Times New Roman" w:hAnsi="Times New Roman" w:cs="Times New Roman"/>
          <w:sz w:val="24"/>
          <w:szCs w:val="24"/>
        </w:rPr>
        <w:t xml:space="preserve">; Gaudete et </w:t>
      </w:r>
      <w:proofErr w:type="spellStart"/>
      <w:r w:rsidRPr="00A33B0C">
        <w:rPr>
          <w:rFonts w:ascii="Times New Roman" w:hAnsi="Times New Roman" w:cs="Times New Roman"/>
          <w:sz w:val="24"/>
          <w:szCs w:val="24"/>
        </w:rPr>
        <w:t>exsultate</w:t>
      </w:r>
      <w:proofErr w:type="spellEnd"/>
      <w:r w:rsidRPr="00A33B0C">
        <w:rPr>
          <w:rFonts w:ascii="Times New Roman" w:hAnsi="Times New Roman" w:cs="Times New Roman"/>
          <w:sz w:val="24"/>
          <w:szCs w:val="24"/>
        </w:rPr>
        <w:t xml:space="preserve">. AL ad esempio inizia in modo particolarmente bello: «La gioia dell’amore che si vive nelle famiglie è anche il giubilo della Chiesa». Dire ‘il vangelo della gioia’ per parlare dell’evangelizzazione (EG), esprimere un sussulto di lode a Dio per il dono della casa comune (LS), parlare di ‘letizia dell’amore’ per i legami familiari e esultare per la vita cristiana che siamo chiamati a vivere (la santità feriale del quotidiano) significa tracciare i lineamenti di una fede che scaturisce da un evento di grazia, irrompe nell’esistenza senza meriti, ci raggiunge precedendo ogni nostra prestazione morale e ogni nostro generoso impegno, e per questo ci rende gioiosamente grati. È sentirsi donati a </w:t>
      </w:r>
      <w:proofErr w:type="gramStart"/>
      <w:r w:rsidRPr="00A33B0C">
        <w:rPr>
          <w:rFonts w:ascii="Times New Roman" w:hAnsi="Times New Roman" w:cs="Times New Roman"/>
          <w:sz w:val="24"/>
          <w:szCs w:val="24"/>
        </w:rPr>
        <w:t>se</w:t>
      </w:r>
      <w:proofErr w:type="gramEnd"/>
      <w:r w:rsidRPr="00A33B0C">
        <w:rPr>
          <w:rFonts w:ascii="Times New Roman" w:hAnsi="Times New Roman" w:cs="Times New Roman"/>
          <w:sz w:val="24"/>
          <w:szCs w:val="24"/>
        </w:rPr>
        <w:t xml:space="preserve"> stessi, per una misericordia “immeritata, incondizionata e gratuita” (AL 296-297). Questa è “un’altra figura di fede”. </w:t>
      </w:r>
    </w:p>
    <w:p w14:paraId="4258C630"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È un cristianesimo della grazia. La fede nel segno della grazia si basa sull’esperienza di un amore incondizionato. Tutto ci è donato: il vangelo, la casa comune da custodire, l’amore di coppia e familiare. Questa esperienza connota di gioia (certo non di spensieratezza) la missione della Chiesa (evangelizzare), la cura del creato e la vita umana in ognuna delle sue espressioni. È dunque la fede nella possibilità di vivere con speranza, perché siamo preceduti e custoditi. Questo non per le nostre forze, ma per grazia. </w:t>
      </w:r>
    </w:p>
    <w:p w14:paraId="6308BC46" w14:textId="47A376D3"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Una fede così non ci chiede di rottamare nulla di quanto abbiamo avuto nella nostra formazione, né la strutturazione morale che ci è stata data (di cui siamo grati), né la generosità e l’impegno a cui siamo stati allenati. Ma li trasfigura. Non ne fa il punto di partenza, ma l’eco grato di vite segnate dalla gioia evangelica, anche nel buio e nella sofferenza, perché salvate. Così, la riscoperta di una</w:t>
      </w:r>
      <w:r w:rsidRPr="00A33B0C">
        <w:rPr>
          <w:rFonts w:ascii="Times New Roman" w:hAnsi="Times New Roman" w:cs="Times New Roman"/>
          <w:sz w:val="24"/>
          <w:szCs w:val="24"/>
        </w:rPr>
        <w:t xml:space="preserve"> </w:t>
      </w:r>
      <w:r w:rsidRPr="00A33B0C">
        <w:rPr>
          <w:rFonts w:ascii="Times New Roman" w:hAnsi="Times New Roman" w:cs="Times New Roman"/>
          <w:sz w:val="24"/>
          <w:szCs w:val="24"/>
        </w:rPr>
        <w:t xml:space="preserve">fede non basata sulla paura (da cui il dovere) né sui meriti (da cui l’impegno) ma sulla riconoscenza, non solo non rende irresponsabili o disimpegnati, ma moltiplica la responsabilità e la generosità, perché chi ha sperimentato di essere amato è spinto a non sciupare un dono così prezioso ed è in grado di fare della propria vita un dono per gli altri: un dono di riconoscenza per ciò che gratuitamente si è ricevuto e che solo donandolo gratuitamente si conserva. Con una differenza fondamentale: </w:t>
      </w:r>
      <w:r w:rsidRPr="00A33B0C">
        <w:rPr>
          <w:rFonts w:ascii="Times New Roman" w:hAnsi="Times New Roman" w:cs="Times New Roman"/>
          <w:sz w:val="24"/>
          <w:szCs w:val="24"/>
        </w:rPr>
        <w:lastRenderedPageBreak/>
        <w:t xml:space="preserve">impariamo la misura giusta, quella che viene dal fatto di sapere che tutto viene da Lui, anche le nostre forze, ed è Lui che ha salvato e continua a salvare il mondo. Noi siamo servi inutili. </w:t>
      </w:r>
    </w:p>
    <w:p w14:paraId="612BA3CB"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Siamo chiamati ad entrare in un orizzonte di grazia, di gratuità e di gratitudine. Paradossalmente, è solo quando nella nostra vita i conti non tornano più, quando non abbiamo più nulla da esibire davanti a Dio, quando a lui non siamo in grado di presentare se non le nostre povertà, allora è possibile che muoiano dentro di noi le immagini degli idoli e finalmente possa farsi luce il volto di Dio Padre. Il misericordioso. </w:t>
      </w:r>
    </w:p>
    <w:p w14:paraId="62377ED5"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La fede identificata con il dovere e persino quella solo identificata con l’impegno non hanno futuro e non parlano più alle persone di oggi. Né la prima né la seconda sono una figura di fede “missionaria”, cioè in grado di sorprendere, di interrogare, di convertire. </w:t>
      </w:r>
    </w:p>
    <w:p w14:paraId="0609944A"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Qualsiasi rinnovamento della pastorale non avrà esito se non avremo operato questa conversione e non saremo entrati in un orizzonte di grazia, quella grazia che ci rende responsabili e impegnati. In noi le persone hanno bisogno di vedere riflessa la gioia di una fede che ci porta alla testimonianza gratuita e all’impegno. Non una fede legata ai doveri e al volontarismo delle nostre forze. Solo la nostra conversione di fede alla grazia potrà sorprendere e riavviare altre persone alla fede. </w:t>
      </w:r>
    </w:p>
    <w:p w14:paraId="388A855E" w14:textId="65126194"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3.2 Per una fede “non necessaria ma determinante”. Il pensiero di André </w:t>
      </w:r>
      <w:proofErr w:type="spellStart"/>
      <w:r w:rsidRPr="00A33B0C">
        <w:rPr>
          <w:rFonts w:ascii="Times New Roman" w:hAnsi="Times New Roman" w:cs="Times New Roman"/>
          <w:sz w:val="24"/>
          <w:szCs w:val="24"/>
        </w:rPr>
        <w:t>Fossion</w:t>
      </w:r>
      <w:proofErr w:type="spellEnd"/>
      <w:r w:rsidRPr="00A33B0C">
        <w:rPr>
          <w:rFonts w:ascii="Times New Roman" w:hAnsi="Times New Roman" w:cs="Times New Roman"/>
          <w:sz w:val="24"/>
          <w:szCs w:val="24"/>
        </w:rPr>
        <w:t xml:space="preserve"> </w:t>
      </w:r>
    </w:p>
    <w:p w14:paraId="4A284B11" w14:textId="38D6202D"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«La prospettiva che vorrei sviluppare consiste nel sottolineare che la fede cristiana – e di conseguenza il suo annuncio – si regge su un paradosso: essa è radicalmente non necessaria per la salvezza, e tuttavia radicalmente preziosa per la vita, per la trasfigurazione che essa permette di vivere. Radicalmente non necessario, radicalmente prezioso: tale è, mi pare, lo statuto della fede cristiana come del suo annuncio». </w:t>
      </w:r>
    </w:p>
    <w:p w14:paraId="24C5F368" w14:textId="79CCB39E"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È di sicuro interessante, in questa prospettiva appena sottolineata, conoscere il pensiero del gesuita André </w:t>
      </w:r>
      <w:proofErr w:type="spellStart"/>
      <w:r w:rsidRPr="00A33B0C">
        <w:rPr>
          <w:rFonts w:ascii="Times New Roman" w:hAnsi="Times New Roman" w:cs="Times New Roman"/>
          <w:sz w:val="24"/>
          <w:szCs w:val="24"/>
        </w:rPr>
        <w:t>Fossion</w:t>
      </w:r>
      <w:proofErr w:type="spellEnd"/>
      <w:r w:rsidRPr="00A33B0C">
        <w:rPr>
          <w:rFonts w:ascii="Times New Roman" w:hAnsi="Times New Roman" w:cs="Times New Roman"/>
          <w:sz w:val="24"/>
          <w:szCs w:val="24"/>
        </w:rPr>
        <w:t xml:space="preserve">. L’originalità della sua riflessione catechetica si trova tutta in questo paradosso. Un paradosso è un modo di esprimersi basato su un’apparente contraddizione, che va contro una verità considerata evidente. Per questo il paradosso spinge verso una comprensione più profonda della verità stessa, oltre le apparenze e i modi di pensare e di agire divenuti abituali, scontati. La fede “radicalmente non necessaria ma radicalmente preziosa” (e di conseguenza il suo annuncio) è uno di quei paradossi che dà a pensare e, se accolto, cambia la visione del cristianesimo. Per questo non lascia indifferenti: crea attrazione o repulsione. </w:t>
      </w:r>
    </w:p>
    <w:p w14:paraId="59179CB2"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Ecco quanto afferma questo autore. </w:t>
      </w:r>
    </w:p>
    <w:p w14:paraId="79E3302D"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«Rispetto all’esigenza principale, ossia la carità, la fede in Dio è seconda. L’aspetto essenziale infatti, poiché Dio è amore, è quello della carità. Quest’ultima rappresenta l’esercizio di una grazia primordiale che, in sé stessa e per sé stessa, è sufficiente affinché venga il Regno di Dio, anche quando Dio non è riconosciuto. </w:t>
      </w:r>
    </w:p>
    <w:p w14:paraId="1BBC348C"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Eppure, se il riconoscimento di Dio non è necessario per generare la sua vita, questo appare comunque come una grazia supplementare che accresce ulteriormente la vita che Dio dona. Questa prospettiva si basa su una teologia della grazia che, per definizione, è eccessiva. </w:t>
      </w:r>
    </w:p>
    <w:p w14:paraId="1E389EA0"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Il fatto che Dio, senza rendersi necessario, ci generi donandoci una vita da portare avanti, è già una prima grazia. Che si lasci poi riconoscere, nella libertà, dall’uomo vivente, come un Padre benevolo, è una seconda grazia. […] </w:t>
      </w:r>
    </w:p>
    <w:p w14:paraId="7D2A29B4" w14:textId="611053BE"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lastRenderedPageBreak/>
        <w:t>È nella logica di questa grazia supplementare, non necessaria ma estremamente rivelatrice dell’amore di Dio, che la proposta della fede cristiana può essere ascoltata nel contesto odierno multireligioso e caratterizzato dalle convinzioni più diversificate»</w:t>
      </w:r>
      <w:r w:rsidRPr="00A33B0C">
        <w:rPr>
          <w:rFonts w:ascii="Times New Roman" w:hAnsi="Times New Roman" w:cs="Times New Roman"/>
          <w:sz w:val="24"/>
          <w:szCs w:val="24"/>
        </w:rPr>
        <w:t>.</w:t>
      </w:r>
      <w:r w:rsidRPr="00A33B0C">
        <w:rPr>
          <w:rFonts w:ascii="Times New Roman" w:hAnsi="Times New Roman" w:cs="Times New Roman"/>
          <w:sz w:val="24"/>
          <w:szCs w:val="24"/>
        </w:rPr>
        <w:t xml:space="preserve"> </w:t>
      </w:r>
    </w:p>
    <w:p w14:paraId="5768575E" w14:textId="6DC44293"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Proviamo dunque ad entrare in questo paradosso. Ci limiteremo, in questo contributo, a presentare il pensiero di André </w:t>
      </w:r>
      <w:proofErr w:type="spellStart"/>
      <w:r w:rsidRPr="00A33B0C">
        <w:rPr>
          <w:rFonts w:ascii="Times New Roman" w:hAnsi="Times New Roman" w:cs="Times New Roman"/>
          <w:sz w:val="24"/>
          <w:szCs w:val="24"/>
        </w:rPr>
        <w:t>Fossion</w:t>
      </w:r>
      <w:proofErr w:type="spellEnd"/>
      <w:r w:rsidRPr="00A33B0C">
        <w:rPr>
          <w:rFonts w:ascii="Times New Roman" w:hAnsi="Times New Roman" w:cs="Times New Roman"/>
          <w:sz w:val="24"/>
          <w:szCs w:val="24"/>
        </w:rPr>
        <w:t xml:space="preserve">, nel modo più oggettivo possibile, argomentandone la pertinenza quando questo risultasse opportuno. </w:t>
      </w:r>
      <w:r w:rsidRPr="00A33B0C">
        <w:rPr>
          <w:rFonts w:ascii="Times New Roman" w:hAnsi="Times New Roman" w:cs="Times New Roman"/>
          <w:sz w:val="24"/>
          <w:szCs w:val="24"/>
        </w:rPr>
        <w:t xml:space="preserve"> </w:t>
      </w:r>
      <w:r w:rsidRPr="00A33B0C">
        <w:rPr>
          <w:rFonts w:ascii="Times New Roman" w:hAnsi="Times New Roman" w:cs="Times New Roman"/>
          <w:sz w:val="24"/>
          <w:szCs w:val="24"/>
        </w:rPr>
        <w:t xml:space="preserve">L’affermazione del nostro autore si struttura attorno tre parti. C’è un ‘a monte’: l’amore eccedente di Dio; un ‘a valle’: lo stile di evangelizzazione della Chiesa nel segno della gratuità; e, al centro, una polarità: la fede radicalmente non necessaria e radicalmente preziosa. Lasciamoci interrogare dal pensiero dell’autore sviluppando questi tre punti. </w:t>
      </w:r>
    </w:p>
    <w:p w14:paraId="58EC9600"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A. L’amore di Dio è eccedente </w:t>
      </w:r>
    </w:p>
    <w:p w14:paraId="0743760A" w14:textId="014B975C"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Nella sua opera fondamentale, La </w:t>
      </w:r>
      <w:proofErr w:type="spellStart"/>
      <w:r w:rsidRPr="00A33B0C">
        <w:rPr>
          <w:rFonts w:ascii="Times New Roman" w:hAnsi="Times New Roman" w:cs="Times New Roman"/>
          <w:sz w:val="24"/>
          <w:szCs w:val="24"/>
        </w:rPr>
        <w:t>catéchèse</w:t>
      </w:r>
      <w:proofErr w:type="spellEnd"/>
      <w:r w:rsidRPr="00A33B0C">
        <w:rPr>
          <w:rFonts w:ascii="Times New Roman" w:hAnsi="Times New Roman" w:cs="Times New Roman"/>
          <w:sz w:val="24"/>
          <w:szCs w:val="24"/>
        </w:rPr>
        <w:t xml:space="preserve"> </w:t>
      </w:r>
      <w:proofErr w:type="spellStart"/>
      <w:r w:rsidRPr="00A33B0C">
        <w:rPr>
          <w:rFonts w:ascii="Times New Roman" w:hAnsi="Times New Roman" w:cs="Times New Roman"/>
          <w:sz w:val="24"/>
          <w:szCs w:val="24"/>
        </w:rPr>
        <w:t>dans</w:t>
      </w:r>
      <w:proofErr w:type="spellEnd"/>
      <w:r w:rsidRPr="00A33B0C">
        <w:rPr>
          <w:rFonts w:ascii="Times New Roman" w:hAnsi="Times New Roman" w:cs="Times New Roman"/>
          <w:sz w:val="24"/>
          <w:szCs w:val="24"/>
        </w:rPr>
        <w:t xml:space="preserve"> le </w:t>
      </w:r>
      <w:proofErr w:type="spellStart"/>
      <w:r w:rsidRPr="00A33B0C">
        <w:rPr>
          <w:rFonts w:ascii="Times New Roman" w:hAnsi="Times New Roman" w:cs="Times New Roman"/>
          <w:sz w:val="24"/>
          <w:szCs w:val="24"/>
        </w:rPr>
        <w:t>champ</w:t>
      </w:r>
      <w:proofErr w:type="spellEnd"/>
      <w:r w:rsidRPr="00A33B0C">
        <w:rPr>
          <w:rFonts w:ascii="Times New Roman" w:hAnsi="Times New Roman" w:cs="Times New Roman"/>
          <w:sz w:val="24"/>
          <w:szCs w:val="24"/>
        </w:rPr>
        <w:t xml:space="preserve"> de la </w:t>
      </w:r>
      <w:proofErr w:type="spellStart"/>
      <w:r w:rsidRPr="00A33B0C">
        <w:rPr>
          <w:rFonts w:ascii="Times New Roman" w:hAnsi="Times New Roman" w:cs="Times New Roman"/>
          <w:sz w:val="24"/>
          <w:szCs w:val="24"/>
        </w:rPr>
        <w:t>communication</w:t>
      </w:r>
      <w:proofErr w:type="spellEnd"/>
      <w:r w:rsidRPr="00A33B0C">
        <w:rPr>
          <w:rFonts w:ascii="Times New Roman" w:hAnsi="Times New Roman" w:cs="Times New Roman"/>
          <w:sz w:val="24"/>
          <w:szCs w:val="24"/>
        </w:rPr>
        <w:t xml:space="preserve">, A. </w:t>
      </w:r>
      <w:proofErr w:type="spellStart"/>
      <w:r w:rsidRPr="00A33B0C">
        <w:rPr>
          <w:rFonts w:ascii="Times New Roman" w:hAnsi="Times New Roman" w:cs="Times New Roman"/>
          <w:sz w:val="24"/>
          <w:szCs w:val="24"/>
        </w:rPr>
        <w:t>Fossion</w:t>
      </w:r>
      <w:proofErr w:type="spellEnd"/>
      <w:r w:rsidRPr="00A33B0C">
        <w:rPr>
          <w:rFonts w:ascii="Times New Roman" w:hAnsi="Times New Roman" w:cs="Times New Roman"/>
          <w:sz w:val="24"/>
          <w:szCs w:val="24"/>
        </w:rPr>
        <w:t xml:space="preserve"> costruisce il fondamento del suo approccio </w:t>
      </w:r>
      <w:proofErr w:type="gramStart"/>
      <w:r w:rsidRPr="00A33B0C">
        <w:rPr>
          <w:rFonts w:ascii="Times New Roman" w:hAnsi="Times New Roman" w:cs="Times New Roman"/>
          <w:sz w:val="24"/>
          <w:szCs w:val="24"/>
        </w:rPr>
        <w:t>teologico :</w:t>
      </w:r>
      <w:proofErr w:type="gramEnd"/>
      <w:r w:rsidRPr="00A33B0C">
        <w:rPr>
          <w:rFonts w:ascii="Times New Roman" w:hAnsi="Times New Roman" w:cs="Times New Roman"/>
          <w:sz w:val="24"/>
          <w:szCs w:val="24"/>
        </w:rPr>
        <w:t xml:space="preserve"> una rivisitazione della rivelazione cristiana di Dio nei termini della comunicazione: la comunicazione in Dio (il mistero trinitario); la comunicazione di Dio (la storia della salvezza); la comunicazione secondo lo Spirito di Dio (nella chiesa e nel mondo). La caratteristica fondamentale di questa comunicazione divina ad intra e ad extra è il suo carattere debordante: l’amore di Dio è eccessivo, eccedente. La comunicazione in Dio per questo si fa comunicazione di Dio, in Cristo prima e nello Spirito poi: «la storia umana scaturisce dalla comunicazione in Dio che condivide </w:t>
      </w:r>
      <w:proofErr w:type="gramStart"/>
      <w:r w:rsidRPr="00A33B0C">
        <w:rPr>
          <w:rFonts w:ascii="Times New Roman" w:hAnsi="Times New Roman" w:cs="Times New Roman"/>
          <w:sz w:val="24"/>
          <w:szCs w:val="24"/>
        </w:rPr>
        <w:t>se</w:t>
      </w:r>
      <w:proofErr w:type="gramEnd"/>
      <w:r w:rsidRPr="00A33B0C">
        <w:rPr>
          <w:rFonts w:ascii="Times New Roman" w:hAnsi="Times New Roman" w:cs="Times New Roman"/>
          <w:sz w:val="24"/>
          <w:szCs w:val="24"/>
        </w:rPr>
        <w:t xml:space="preserve"> stesso gratuitamente». Il paradosso della fede “non necessaria” si fonda sul paradosso stesso di un Dio che si comunica a tutti senza rendersi necessario. </w:t>
      </w:r>
    </w:p>
    <w:p w14:paraId="42752C84" w14:textId="2A4536CA"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«Che lo vogliamo o meno, che lo sappiamo oppure no, che lo proclamiamo o no, la grazia di Dio opera nel mondo in una maniera che ci supera e che noi non possiamo misurare. Il cristianesimo, infatti, consiste interamente nell’affermazione che Dio è amore eccessivo». </w:t>
      </w:r>
      <w:proofErr w:type="spellStart"/>
      <w:r w:rsidRPr="00A33B0C">
        <w:rPr>
          <w:rFonts w:ascii="Times New Roman" w:hAnsi="Times New Roman" w:cs="Times New Roman"/>
          <w:sz w:val="24"/>
          <w:szCs w:val="24"/>
        </w:rPr>
        <w:t>Fossion</w:t>
      </w:r>
      <w:proofErr w:type="spellEnd"/>
      <w:r w:rsidRPr="00A33B0C">
        <w:rPr>
          <w:rFonts w:ascii="Times New Roman" w:hAnsi="Times New Roman" w:cs="Times New Roman"/>
          <w:sz w:val="24"/>
          <w:szCs w:val="24"/>
        </w:rPr>
        <w:t xml:space="preserve"> afferma dunque che è la natura stessa del Dio di Gesù Cristo, la sua identità profonda, che lo porta ad amare in maniera assolutamente gratuita ogni uomo e ogni donna, senza legare il suo amore all’adesione e al riconoscimento esplicito. È dunque un Dio, quello cristiano, che ha deciso di rendersi egli stesso non necessario. E qui siamo già nel cuore del paradosso: la vita umana non può esistere senza l’amore eccessivo di Dio (che è dunque è necessario), ma questo amore nella logica della kenosi non si impone e non obbliga nessuno a riconoscerlo (si offre a noi come non necessario). Il Padre di Gesù Cristo e datore dello Spirito si rende a tutti disponibile senza eccezione e senza imposizione: è colui che sempre si dispone senza mai imporsi. È il totalmente gratis. Il suo modo di essere lo toglie dall’orizzonte del necessario e lo pone in quello dell’amore, cioè del più che necessario. </w:t>
      </w:r>
    </w:p>
    <w:p w14:paraId="3E7F2B2A"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B. La fede radicalmente non necessaria e radicalmente preziosa </w:t>
      </w:r>
    </w:p>
    <w:p w14:paraId="2FA7C43F" w14:textId="377C715B"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Qual è la conseguenza di questa visione dell’amore di Dio per la vita umana? Semplicissima: «Se la grazia di Dio è eccedente a questo punto, la fede cristiana diviene essa stessa radicalmente non necessaria per essere generati alla vita di Dio», ma allo stesso tempo «essa è radicalmente preziosa per la vita. La trasfigura e le permette di vivere in un modo radicalmente nuovo</w:t>
      </w:r>
      <w:proofErr w:type="gramStart"/>
      <w:r w:rsidRPr="00A33B0C">
        <w:rPr>
          <w:rFonts w:ascii="Times New Roman" w:hAnsi="Times New Roman" w:cs="Times New Roman"/>
          <w:sz w:val="24"/>
          <w:szCs w:val="24"/>
        </w:rPr>
        <w:t>» .</w:t>
      </w:r>
      <w:proofErr w:type="gramEnd"/>
      <w:r w:rsidRPr="00A33B0C">
        <w:rPr>
          <w:rFonts w:ascii="Times New Roman" w:hAnsi="Times New Roman" w:cs="Times New Roman"/>
          <w:sz w:val="24"/>
          <w:szCs w:val="24"/>
        </w:rPr>
        <w:t xml:space="preserve"> Il paradosso di un Dio necessario che si rende non necessario si traduce in un’adesione a lui (la fede) </w:t>
      </w:r>
      <w:proofErr w:type="gramStart"/>
      <w:r w:rsidRPr="00A33B0C">
        <w:rPr>
          <w:rFonts w:ascii="Times New Roman" w:hAnsi="Times New Roman" w:cs="Times New Roman"/>
          <w:sz w:val="24"/>
          <w:szCs w:val="24"/>
        </w:rPr>
        <w:t>« non</w:t>
      </w:r>
      <w:proofErr w:type="gramEnd"/>
      <w:r w:rsidRPr="00A33B0C">
        <w:rPr>
          <w:rFonts w:ascii="Times New Roman" w:hAnsi="Times New Roman" w:cs="Times New Roman"/>
          <w:sz w:val="24"/>
          <w:szCs w:val="24"/>
        </w:rPr>
        <w:t xml:space="preserve"> necessaria ma determinante » per la vita umana. </w:t>
      </w:r>
    </w:p>
    <w:p w14:paraId="5220847F"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a) Radicalmente non necessaria. Per tre volte ricorre il termine ‘radicalmente’. È un modo per obbligare chi ascolta a non sfuggire dall’argomentazione e spingere la riflessione “fino alla sua radice”, che è Dio. Se la natura di Dio è così, così dev’essere la fede cristiana, perché Dio non può smentire </w:t>
      </w:r>
      <w:proofErr w:type="gramStart"/>
      <w:r w:rsidRPr="00A33B0C">
        <w:rPr>
          <w:rFonts w:ascii="Times New Roman" w:hAnsi="Times New Roman" w:cs="Times New Roman"/>
          <w:sz w:val="24"/>
          <w:szCs w:val="24"/>
        </w:rPr>
        <w:t>se</w:t>
      </w:r>
      <w:proofErr w:type="gramEnd"/>
      <w:r w:rsidRPr="00A33B0C">
        <w:rPr>
          <w:rFonts w:ascii="Times New Roman" w:hAnsi="Times New Roman" w:cs="Times New Roman"/>
          <w:sz w:val="24"/>
          <w:szCs w:val="24"/>
        </w:rPr>
        <w:t xml:space="preserve"> stesso. In </w:t>
      </w:r>
      <w:proofErr w:type="gramStart"/>
      <w:r w:rsidRPr="00A33B0C">
        <w:rPr>
          <w:rFonts w:ascii="Times New Roman" w:hAnsi="Times New Roman" w:cs="Times New Roman"/>
          <w:sz w:val="24"/>
          <w:szCs w:val="24"/>
        </w:rPr>
        <w:t>se</w:t>
      </w:r>
      <w:proofErr w:type="gramEnd"/>
      <w:r w:rsidRPr="00A33B0C">
        <w:rPr>
          <w:rFonts w:ascii="Times New Roman" w:hAnsi="Times New Roman" w:cs="Times New Roman"/>
          <w:sz w:val="24"/>
          <w:szCs w:val="24"/>
        </w:rPr>
        <w:t xml:space="preserve"> stessa, la fede non è necessaria per gioire dell’amore di Dio e quindi per vivere umanamente bene la propria esistenza. L’autore riconosce che questa affermazione può apparire “</w:t>
      </w:r>
      <w:proofErr w:type="spellStart"/>
      <w:r w:rsidRPr="00A33B0C">
        <w:rPr>
          <w:rFonts w:ascii="Times New Roman" w:hAnsi="Times New Roman" w:cs="Times New Roman"/>
          <w:sz w:val="24"/>
          <w:szCs w:val="24"/>
        </w:rPr>
        <w:t>abrupte</w:t>
      </w:r>
      <w:proofErr w:type="spellEnd"/>
      <w:r w:rsidRPr="00A33B0C">
        <w:rPr>
          <w:rFonts w:ascii="Times New Roman" w:hAnsi="Times New Roman" w:cs="Times New Roman"/>
          <w:sz w:val="24"/>
          <w:szCs w:val="24"/>
        </w:rPr>
        <w:t>” (brutale) e anche “</w:t>
      </w:r>
      <w:proofErr w:type="spellStart"/>
      <w:r w:rsidRPr="00A33B0C">
        <w:rPr>
          <w:rFonts w:ascii="Times New Roman" w:hAnsi="Times New Roman" w:cs="Times New Roman"/>
          <w:sz w:val="24"/>
          <w:szCs w:val="24"/>
        </w:rPr>
        <w:t>choquante</w:t>
      </w:r>
      <w:proofErr w:type="spellEnd"/>
      <w:r w:rsidRPr="00A33B0C">
        <w:rPr>
          <w:rFonts w:ascii="Times New Roman" w:hAnsi="Times New Roman" w:cs="Times New Roman"/>
          <w:sz w:val="24"/>
          <w:szCs w:val="24"/>
        </w:rPr>
        <w:t xml:space="preserve">” (scioccante) e per questo si dilunga nel precisare </w:t>
      </w:r>
      <w:r w:rsidRPr="00A33B0C">
        <w:rPr>
          <w:rFonts w:ascii="Times New Roman" w:hAnsi="Times New Roman" w:cs="Times New Roman"/>
          <w:sz w:val="24"/>
          <w:szCs w:val="24"/>
        </w:rPr>
        <w:lastRenderedPageBreak/>
        <w:t xml:space="preserve">quello che egli intende dire. Il suo pensiero si riassume in una frase: «Il riconoscimento esplicito della salvezza in Gesù Cristo non è una condizione per esserne destinatari». Al termine «fede» egli dà quindi il significato di adesione esplicita al Dio di Gesù Cristo. Non è dunque rinnegata l’affermazione centrale del cristianesimo, la sua ‘pretesa’ di professare che Gesù Cristo morto e risorto è il Salvatore di tutti. Viene affermato che «il riconoscimento esplicito del Dio di Gesù Cristo durante questa vita non è affatto una condizione obbligata per ricevere la vita in abbondanza». Quello che è necessario è la fede nella vita, credere che la vita vale la pena di essere vissuta e messa in gioco per gli altri, perché l’abbiamo ricevuta gratuitamente e gratuitamente siamo chiamati a donarla. È la conseguenza antropologica della visione teologica dell’autore. Ciò che è necessario è vivere la propria vita con amore: è questa la prima risposta positiva all’amore di Dio, alla sua ‘grazia prima’. </w:t>
      </w:r>
    </w:p>
    <w:p w14:paraId="65AFFEFE" w14:textId="3C158328"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André </w:t>
      </w:r>
      <w:proofErr w:type="spellStart"/>
      <w:r w:rsidRPr="00A33B0C">
        <w:rPr>
          <w:rFonts w:ascii="Times New Roman" w:hAnsi="Times New Roman" w:cs="Times New Roman"/>
          <w:sz w:val="24"/>
          <w:szCs w:val="24"/>
        </w:rPr>
        <w:t>Fossion</w:t>
      </w:r>
      <w:proofErr w:type="spellEnd"/>
      <w:r w:rsidRPr="00A33B0C">
        <w:rPr>
          <w:rFonts w:ascii="Times New Roman" w:hAnsi="Times New Roman" w:cs="Times New Roman"/>
          <w:sz w:val="24"/>
          <w:szCs w:val="24"/>
        </w:rPr>
        <w:t xml:space="preserve"> raggiunge qui la posizione di Christoph Theobald19, che distingue tra “fede elementare” e “fede del discepolo”. Egli definisce come “fede elementare” o “fede di chiunque” </w:t>
      </w:r>
      <w:proofErr w:type="gramStart"/>
      <w:r w:rsidRPr="00A33B0C">
        <w:rPr>
          <w:rFonts w:ascii="Times New Roman" w:hAnsi="Times New Roman" w:cs="Times New Roman"/>
          <w:sz w:val="24"/>
          <w:szCs w:val="24"/>
        </w:rPr>
        <w:t>la  “</w:t>
      </w:r>
      <w:proofErr w:type="gramEnd"/>
      <w:r w:rsidRPr="00A33B0C">
        <w:rPr>
          <w:rFonts w:ascii="Times New Roman" w:hAnsi="Times New Roman" w:cs="Times New Roman"/>
          <w:sz w:val="24"/>
          <w:szCs w:val="24"/>
        </w:rPr>
        <w:t xml:space="preserve">notizia di bontà radicale nascosta in ogni vita” (il bisogno di vita e l’aspirazione ad una vita buona che c’è in tutti). Definisce “fede del discepolo” quella che si esprime come riconoscimento e adesione esplicita al Signore Gesù nella comunità ecclesiale. La “fede di chiunque” di </w:t>
      </w:r>
      <w:proofErr w:type="spellStart"/>
      <w:r w:rsidRPr="00A33B0C">
        <w:rPr>
          <w:rFonts w:ascii="Times New Roman" w:hAnsi="Times New Roman" w:cs="Times New Roman"/>
          <w:sz w:val="24"/>
          <w:szCs w:val="24"/>
        </w:rPr>
        <w:t>Theobald</w:t>
      </w:r>
      <w:proofErr w:type="spellEnd"/>
      <w:r w:rsidRPr="00A33B0C">
        <w:rPr>
          <w:rFonts w:ascii="Times New Roman" w:hAnsi="Times New Roman" w:cs="Times New Roman"/>
          <w:sz w:val="24"/>
          <w:szCs w:val="24"/>
        </w:rPr>
        <w:t xml:space="preserve"> afferma l’universalità della salvezza di Dio in Cristo Gesù, salvezza che non può essere riservata a qualcuno. I due autori introducono una distinzione simile e complementare: ‘grazia prima’ e ‘grazia seconda’ per </w:t>
      </w:r>
      <w:proofErr w:type="spellStart"/>
      <w:r w:rsidRPr="00A33B0C">
        <w:rPr>
          <w:rFonts w:ascii="Times New Roman" w:hAnsi="Times New Roman" w:cs="Times New Roman"/>
          <w:sz w:val="24"/>
          <w:szCs w:val="24"/>
        </w:rPr>
        <w:t>Fossion</w:t>
      </w:r>
      <w:proofErr w:type="spellEnd"/>
      <w:r w:rsidRPr="00A33B0C">
        <w:rPr>
          <w:rFonts w:ascii="Times New Roman" w:hAnsi="Times New Roman" w:cs="Times New Roman"/>
          <w:sz w:val="24"/>
          <w:szCs w:val="24"/>
        </w:rPr>
        <w:t xml:space="preserve">; ‘fede elementare’ e ‘fede del discepolo’ per </w:t>
      </w:r>
      <w:proofErr w:type="spellStart"/>
      <w:r w:rsidRPr="00A33B0C">
        <w:rPr>
          <w:rFonts w:ascii="Times New Roman" w:hAnsi="Times New Roman" w:cs="Times New Roman"/>
          <w:sz w:val="24"/>
          <w:szCs w:val="24"/>
        </w:rPr>
        <w:t>Theobald</w:t>
      </w:r>
      <w:proofErr w:type="spellEnd"/>
      <w:r w:rsidRPr="00A33B0C">
        <w:rPr>
          <w:rFonts w:ascii="Times New Roman" w:hAnsi="Times New Roman" w:cs="Times New Roman"/>
          <w:sz w:val="24"/>
          <w:szCs w:val="24"/>
        </w:rPr>
        <w:t xml:space="preserve">. L’insieme di queste due distinzioni chiarisce definitivamente i termini della questione: a tutti è stata data la grazia prima, a qualcuno anche una grazia seconda; tutti sono chiamati a una fede elementare, qualcuno per una grazia supplementare può accedere alla fede del discepolo. </w:t>
      </w:r>
    </w:p>
    <w:p w14:paraId="2BD6544E"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André </w:t>
      </w:r>
      <w:proofErr w:type="spellStart"/>
      <w:r w:rsidRPr="00A33B0C">
        <w:rPr>
          <w:rFonts w:ascii="Times New Roman" w:hAnsi="Times New Roman" w:cs="Times New Roman"/>
          <w:sz w:val="24"/>
          <w:szCs w:val="24"/>
        </w:rPr>
        <w:t>Fossion</w:t>
      </w:r>
      <w:proofErr w:type="spellEnd"/>
      <w:r w:rsidRPr="00A33B0C">
        <w:rPr>
          <w:rFonts w:ascii="Times New Roman" w:hAnsi="Times New Roman" w:cs="Times New Roman"/>
          <w:sz w:val="24"/>
          <w:szCs w:val="24"/>
        </w:rPr>
        <w:t xml:space="preserve">, preoccupato di dimostrare la sua aderenza alla tradizione della Chiesa e al Magistero, cita un testo del Concilio Vaticano II, ripreso alla lettera dal Catechismo della Chiesa Cattolica (n° 1260). </w:t>
      </w:r>
    </w:p>
    <w:p w14:paraId="586CFBBE"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«Cristo, infatti, è morto per tutti e la vocazione ultima dell’uomo è effettivamente una sola, quella divina, e perciò dobbiamo ritenere che lo Spirito Santo dia a tutti la possibilità di venire a contatto, nel modo che Dio conosce, col mistero pasquale» (GS 22). </w:t>
      </w:r>
    </w:p>
    <w:p w14:paraId="680285D5"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L’espressione «dobbiamo ritenere» è un’affermazione conciliare, e pertanto normativa. E il contenuto di questa dichiarazione dogmatica è che tutti hanno la possibilità di essere associati al mistero pasquale. Noi possiamo aggiungere, per sostenere questa tesi, un’altra affermazione del CCC estremamente efficace: «Dio ha legato la sua salvezza al sacramento del Battesimo, tuttavia non è legato ai suoi sacramenti» (CCC 1257). </w:t>
      </w:r>
    </w:p>
    <w:p w14:paraId="43D5261A"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b) Radicalmente preziosa, cioè determinante. Siamo ora in grado di chiarire il secondo termine del paradosso. Collocare la fede nell’ordine del “non necessario” non significa ridurla alla natura del superfluo. Significa invece situarla nel campo dell’esperienza umana del “più che necessario”. E qui il paradosso raggiunge il suo culmine: il ‘non necessario’ come totalmente gratuito si traduce nel ‘più che necessario’, vale a dire nell’esperienza di qualcosa che non ci si può dare da sé ma che, quando ci raggiunge, trasforma radicalmente la propria esistenza. </w:t>
      </w:r>
    </w:p>
    <w:p w14:paraId="63239899"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Il nostro autore ci offre un esempio particolarmente illuminante: </w:t>
      </w:r>
    </w:p>
    <w:p w14:paraId="67A207A9"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«Immaginiamo due persone che si amano senza confessarselo, senza saperlo. Queste persone possono vivere così, ma la dichiarazione d’amore, benché non crei l’amore perché esiste già, cambia tutto. La dichiarazione trasfigura la vita e l’amore stesso dal momento che viene dichiarato, riconosciuto e dimostrato»20. Il termine ‘trasfigurazione’ e ‘</w:t>
      </w:r>
      <w:proofErr w:type="spellStart"/>
      <w:r w:rsidRPr="00A33B0C">
        <w:rPr>
          <w:rFonts w:ascii="Times New Roman" w:hAnsi="Times New Roman" w:cs="Times New Roman"/>
          <w:sz w:val="24"/>
          <w:szCs w:val="24"/>
        </w:rPr>
        <w:t>rifigurazione</w:t>
      </w:r>
      <w:proofErr w:type="spellEnd"/>
      <w:r w:rsidRPr="00A33B0C">
        <w:rPr>
          <w:rFonts w:ascii="Times New Roman" w:hAnsi="Times New Roman" w:cs="Times New Roman"/>
          <w:sz w:val="24"/>
          <w:szCs w:val="24"/>
        </w:rPr>
        <w:t xml:space="preserve">’ esprimono bene l’effetto di questa grazia supplementare, che non è necessaria per vivere ma che, come la perla preziosa del vangelo, una volta </w:t>
      </w:r>
      <w:r w:rsidRPr="00A33B0C">
        <w:rPr>
          <w:rFonts w:ascii="Times New Roman" w:hAnsi="Times New Roman" w:cs="Times New Roman"/>
          <w:sz w:val="24"/>
          <w:szCs w:val="24"/>
        </w:rPr>
        <w:lastRenderedPageBreak/>
        <w:t>trovata rende incomparabilmente piena la vita. Chi accede alla “fede del discepolo” esperimenta così quello che Giovanni dice nel suo prologo: «dalla sua pienezza abbiamo ricevuto grazia su grazia» (</w:t>
      </w:r>
      <w:proofErr w:type="spellStart"/>
      <w:r w:rsidRPr="00A33B0C">
        <w:rPr>
          <w:rFonts w:ascii="Times New Roman" w:hAnsi="Times New Roman" w:cs="Times New Roman"/>
          <w:sz w:val="24"/>
          <w:szCs w:val="24"/>
        </w:rPr>
        <w:t>Gv</w:t>
      </w:r>
      <w:proofErr w:type="spellEnd"/>
      <w:r w:rsidRPr="00A33B0C">
        <w:rPr>
          <w:rFonts w:ascii="Times New Roman" w:hAnsi="Times New Roman" w:cs="Times New Roman"/>
          <w:sz w:val="24"/>
          <w:szCs w:val="24"/>
        </w:rPr>
        <w:t xml:space="preserve"> 1,16). La fede esplicita nel Signore Gesù è dunque una grazia seconda, una grazia radicalmente preziosa che si aggiunge alla grazia dell’esistenza e la riempie di gioia e di senso. </w:t>
      </w:r>
    </w:p>
    <w:p w14:paraId="5D6E54A4" w14:textId="7AF2015A"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C. Uno stile di Chiesa e di evangelizzazione nel registro della grazia</w:t>
      </w:r>
    </w:p>
    <w:p w14:paraId="6CB20F03"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Ci rimane da vedere come il paradosso di </w:t>
      </w:r>
      <w:proofErr w:type="spellStart"/>
      <w:r w:rsidRPr="00A33B0C">
        <w:rPr>
          <w:rFonts w:ascii="Times New Roman" w:hAnsi="Times New Roman" w:cs="Times New Roman"/>
          <w:sz w:val="24"/>
          <w:szCs w:val="24"/>
        </w:rPr>
        <w:t>Fossion</w:t>
      </w:r>
      <w:proofErr w:type="spellEnd"/>
      <w:r w:rsidRPr="00A33B0C">
        <w:rPr>
          <w:rFonts w:ascii="Times New Roman" w:hAnsi="Times New Roman" w:cs="Times New Roman"/>
          <w:sz w:val="24"/>
          <w:szCs w:val="24"/>
        </w:rPr>
        <w:t xml:space="preserve"> ricade sulla concezione stessa di Chiesa, sulla sua postura rispetto all’attuale cultura, sul suo compito di evangelizzazione e più largamente pastorale. </w:t>
      </w:r>
    </w:p>
    <w:p w14:paraId="05F6D477"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 Per quanto riguarda l’autocomprensione di Chiesa, è difficile sostenere l’idea di una Chiesa necessaria se il suo Dio necessario si è offerto al mondo per propria decisione (cioè in coerenza con la propria identità) come non necessario e se la fede in lui è radicalmente non necessaria e al contempo radicalmente preziosa. Dovremo per forza portare il paradosso fino in fondo e applicarlo alla natura della Chiesa e alla sua figura nella storia: una Chiesa non necessaria, cioè relativa al Regno, eppure radicalmente preziosa e quindi, analogicamente, determinante. Se la Chiesa non fosse così essa smentirebbe il volto del suo Dio. Ci basti allora semplicemente richiamare l’incipit della Lumen </w:t>
      </w:r>
      <w:proofErr w:type="spellStart"/>
      <w:r w:rsidRPr="00A33B0C">
        <w:rPr>
          <w:rFonts w:ascii="Times New Roman" w:hAnsi="Times New Roman" w:cs="Times New Roman"/>
          <w:sz w:val="24"/>
          <w:szCs w:val="24"/>
        </w:rPr>
        <w:t>Gentium</w:t>
      </w:r>
      <w:proofErr w:type="spellEnd"/>
      <w:r w:rsidRPr="00A33B0C">
        <w:rPr>
          <w:rFonts w:ascii="Times New Roman" w:hAnsi="Times New Roman" w:cs="Times New Roman"/>
          <w:sz w:val="24"/>
          <w:szCs w:val="24"/>
        </w:rPr>
        <w:t xml:space="preserve">, nel quale essa si autodefinisce «in Cristo, in qualche modo il sacramento, ossia il segno e lo strumento dell'intima unione con Dio e dell'unità di tutto il genere umano» (LG 1). Possiamo allora definire la Chiesa come «segno necessario», efficace ma a termine, perché non manchi nella storia un luogo nel quale viene confessato e vissuto a favore di tutti l’amore eccedente di Dio e dove si annuncia che questo amore non è per qualcuno ma per tutti e sarà il destino di tutti. Proprio la declinazione ecclesiologica del paradosso di cui ci stiamo occupando può spiegare, forse meglio di altre ragioni, i motivi della resistenza a entrare in questa prospettiva, motivi di gran lunga più psicologici che teologici, e che possiamo così riassumere: «Ma allora, se è così, anche noi cristiani non siamo poi così ‘necessari’!». </w:t>
      </w:r>
    </w:p>
    <w:p w14:paraId="26329550" w14:textId="0346513F"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 Una tale comprensione di Chiesa la conduce necessariamente a un rapporto con la cultura attuale, con gli uomini e donne di oggi, basato su una “reciproca ospitalità”. </w:t>
      </w:r>
      <w:proofErr w:type="spellStart"/>
      <w:r w:rsidRPr="00A33B0C">
        <w:rPr>
          <w:rFonts w:ascii="Times New Roman" w:hAnsi="Times New Roman" w:cs="Times New Roman"/>
          <w:sz w:val="24"/>
          <w:szCs w:val="24"/>
        </w:rPr>
        <w:t>Fossion</w:t>
      </w:r>
      <w:proofErr w:type="spellEnd"/>
      <w:r w:rsidRPr="00A33B0C">
        <w:rPr>
          <w:rFonts w:ascii="Times New Roman" w:hAnsi="Times New Roman" w:cs="Times New Roman"/>
          <w:sz w:val="24"/>
          <w:szCs w:val="24"/>
        </w:rPr>
        <w:t xml:space="preserve"> fa notare come in molte lingue il termine “ospite” sia ambivalente: indica sia colui che accoglie che colui che viene accolto. Nella lingua stessa degli umani è dunque inscritta la necessità di una reciprocità dell’accoglienza. Ma ci sbaglieremmo se considerassimo l’ospitalità come una semplice forma di “educazione pastorale”. Essa ha un fondamento teologico. Christoph </w:t>
      </w:r>
      <w:proofErr w:type="spellStart"/>
      <w:r w:rsidRPr="00A33B0C">
        <w:rPr>
          <w:rFonts w:ascii="Times New Roman" w:hAnsi="Times New Roman" w:cs="Times New Roman"/>
          <w:sz w:val="24"/>
          <w:szCs w:val="24"/>
        </w:rPr>
        <w:t>Theobald</w:t>
      </w:r>
      <w:proofErr w:type="spellEnd"/>
      <w:r w:rsidRPr="00A33B0C">
        <w:rPr>
          <w:rFonts w:ascii="Times New Roman" w:hAnsi="Times New Roman" w:cs="Times New Roman"/>
          <w:sz w:val="24"/>
          <w:szCs w:val="24"/>
        </w:rPr>
        <w:t xml:space="preserve"> la definisce non a caso “santità ospitale”. Ricuperando la sua ispirazione carismatica A. </w:t>
      </w:r>
      <w:proofErr w:type="spellStart"/>
      <w:r w:rsidRPr="00A33B0C">
        <w:rPr>
          <w:rFonts w:ascii="Times New Roman" w:hAnsi="Times New Roman" w:cs="Times New Roman"/>
          <w:sz w:val="24"/>
          <w:szCs w:val="24"/>
        </w:rPr>
        <w:t>Fossion</w:t>
      </w:r>
      <w:proofErr w:type="spellEnd"/>
      <w:r w:rsidRPr="00A33B0C">
        <w:rPr>
          <w:rFonts w:ascii="Times New Roman" w:hAnsi="Times New Roman" w:cs="Times New Roman"/>
          <w:sz w:val="24"/>
          <w:szCs w:val="24"/>
        </w:rPr>
        <w:t xml:space="preserve"> ci ricorda la frase di Sant’Ignazio di Loyola: saper vedere Dio in tutte le cose. La Chiesa nel suo compito pastorale sa di essere preceduta dalla grazia di Dio diffusa in tutti i cuori e la “riconosce”. Il suo compito è dunque quello di “rivelare” il volto di Dio nascosto in tutti, affinché tutti possano arrivare a dire, come Giacobbe: </w:t>
      </w:r>
      <w:proofErr w:type="gramStart"/>
      <w:r w:rsidRPr="00A33B0C">
        <w:rPr>
          <w:rFonts w:ascii="Times New Roman" w:hAnsi="Times New Roman" w:cs="Times New Roman"/>
          <w:sz w:val="24"/>
          <w:szCs w:val="24"/>
        </w:rPr>
        <w:t>« Dio</w:t>
      </w:r>
      <w:proofErr w:type="gramEnd"/>
      <w:r w:rsidRPr="00A33B0C">
        <w:rPr>
          <w:rFonts w:ascii="Times New Roman" w:hAnsi="Times New Roman" w:cs="Times New Roman"/>
          <w:sz w:val="24"/>
          <w:szCs w:val="24"/>
        </w:rPr>
        <w:t xml:space="preserve"> era nella mia vita e io non lo sapevo » (cfr. </w:t>
      </w:r>
      <w:proofErr w:type="spellStart"/>
      <w:r w:rsidRPr="00A33B0C">
        <w:rPr>
          <w:rFonts w:ascii="Times New Roman" w:hAnsi="Times New Roman" w:cs="Times New Roman"/>
          <w:sz w:val="24"/>
          <w:szCs w:val="24"/>
        </w:rPr>
        <w:t>Gen</w:t>
      </w:r>
      <w:proofErr w:type="spellEnd"/>
      <w:r w:rsidRPr="00A33B0C">
        <w:rPr>
          <w:rFonts w:ascii="Times New Roman" w:hAnsi="Times New Roman" w:cs="Times New Roman"/>
          <w:sz w:val="24"/>
          <w:szCs w:val="24"/>
        </w:rPr>
        <w:t xml:space="preserve"> 28,16). Ma questo “riconoscimento” di una grazia che la precede, diventa anche per la Chiesa una nuova grazia: essa deve lasciarsi raggiungere dalla parola di Vangelo custodita per lei nel cuore delle donne e degli uomini di oggi, a partire da quelli che sono poveri e lontani da lei. È così che l’esperienza attuale della non-necessità di Dio rivela alla Chiesa qualcosa di Dio stesso che essa non aveva ancora sufficientemente compreso. Il paradosso continua a generare paradossi, fino ad arrivare a dire che la cultura attuale, basata sulla libertà e la democrazia, aiuta la Chiesa (se essa sa ascoltare) a rivisitare il deposito della fede in modo inedito e a farlo parlare in modo che il suo contenuto sia sensato, plausibile e persino desiderabile. È per questo motivo teologico, e non per un ingenuo ottimismo culturale, che </w:t>
      </w:r>
      <w:proofErr w:type="spellStart"/>
      <w:r w:rsidRPr="00A33B0C">
        <w:rPr>
          <w:rFonts w:ascii="Times New Roman" w:hAnsi="Times New Roman" w:cs="Times New Roman"/>
          <w:sz w:val="24"/>
          <w:szCs w:val="24"/>
        </w:rPr>
        <w:t>Fossion</w:t>
      </w:r>
      <w:proofErr w:type="spellEnd"/>
      <w:r w:rsidRPr="00A33B0C">
        <w:rPr>
          <w:rFonts w:ascii="Times New Roman" w:hAnsi="Times New Roman" w:cs="Times New Roman"/>
          <w:sz w:val="24"/>
          <w:szCs w:val="24"/>
        </w:rPr>
        <w:t xml:space="preserve"> insiste affinché la Chiesa cambi la sua postura e non assuma atteggiamenti aggressivi nei riguardi della cultura, ma la abiti con speranza, perché solo assumendo la cultura e appoggiandosi su alcune sue categorie essa salverà la cultura e, </w:t>
      </w:r>
      <w:r w:rsidRPr="00A33B0C">
        <w:rPr>
          <w:rFonts w:ascii="Times New Roman" w:hAnsi="Times New Roman" w:cs="Times New Roman"/>
          <w:sz w:val="24"/>
          <w:szCs w:val="24"/>
        </w:rPr>
        <w:lastRenderedPageBreak/>
        <w:t xml:space="preserve">aggiungiamo noi senza paura, salverà </w:t>
      </w:r>
      <w:proofErr w:type="gramStart"/>
      <w:r w:rsidRPr="00A33B0C">
        <w:rPr>
          <w:rFonts w:ascii="Times New Roman" w:hAnsi="Times New Roman" w:cs="Times New Roman"/>
          <w:sz w:val="24"/>
          <w:szCs w:val="24"/>
        </w:rPr>
        <w:t>se</w:t>
      </w:r>
      <w:proofErr w:type="gramEnd"/>
      <w:r w:rsidRPr="00A33B0C">
        <w:rPr>
          <w:rFonts w:ascii="Times New Roman" w:hAnsi="Times New Roman" w:cs="Times New Roman"/>
          <w:sz w:val="24"/>
          <w:szCs w:val="24"/>
        </w:rPr>
        <w:t xml:space="preserve"> stessa: si manterrà cioè fedele alla sua identità, poiché essa esiste non per se stessa ma per evangelizzare.</w:t>
      </w:r>
    </w:p>
    <w:p w14:paraId="201F13B8" w14:textId="1BBC3CA4"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 Possiamo così chiudere il cerchio del nostro paradosso e indicare, in termini nuovi, le ragioni che spingono la Chiesa ad evangelizzare. Come sarà possibile sostenere la necessità dell’evangelizzazione avendo a che fare con un Dio così come lo abbiamo presentato, con una figura di fede definita come radicalmente non necessaria ma determinante, con una Chiesa “segno efficace ma a termine”, sacramento a favore di un Regno offerto a tutti? A sorpresa, e ancora in modo paradossale, A. </w:t>
      </w:r>
      <w:proofErr w:type="spellStart"/>
      <w:r w:rsidRPr="00A33B0C">
        <w:rPr>
          <w:rFonts w:ascii="Times New Roman" w:hAnsi="Times New Roman" w:cs="Times New Roman"/>
          <w:sz w:val="24"/>
          <w:szCs w:val="24"/>
        </w:rPr>
        <w:t>Fossion</w:t>
      </w:r>
      <w:proofErr w:type="spellEnd"/>
      <w:r w:rsidRPr="00A33B0C">
        <w:rPr>
          <w:rFonts w:ascii="Times New Roman" w:hAnsi="Times New Roman" w:cs="Times New Roman"/>
          <w:sz w:val="24"/>
          <w:szCs w:val="24"/>
        </w:rPr>
        <w:t xml:space="preserve"> sostiene la necessità dell’evangelizzazione, la necessità di annunciare una fede radicalmente non necessaria. Sostiene che proprio una fede non necessaria in un Dio che si è reso non necessario (nel senso sopra spiegato) renda assolutamente necessaria l’evangelizzazione. Non qualunque evangelizzazione, ma una “evangelizzazione evangelica”, nella quale la necessità dell’annuncio non deriva più dal dovere di salvare le altre persone (Dio sa come condurre misteriosamente tutti al suo amore), ma da un eccesso di gratitudine per il dono ricevuto. La sua “grammatica </w:t>
      </w:r>
      <w:proofErr w:type="spellStart"/>
      <w:proofErr w:type="gramStart"/>
      <w:r w:rsidRPr="00A33B0C">
        <w:rPr>
          <w:rFonts w:ascii="Times New Roman" w:hAnsi="Times New Roman" w:cs="Times New Roman"/>
          <w:sz w:val="24"/>
          <w:szCs w:val="24"/>
        </w:rPr>
        <w:t>spirituale”diviene</w:t>
      </w:r>
      <w:proofErr w:type="spellEnd"/>
      <w:proofErr w:type="gramEnd"/>
      <w:r w:rsidRPr="00A33B0C">
        <w:rPr>
          <w:rFonts w:ascii="Times New Roman" w:hAnsi="Times New Roman" w:cs="Times New Roman"/>
          <w:sz w:val="24"/>
          <w:szCs w:val="24"/>
        </w:rPr>
        <w:t xml:space="preserve"> così una delle formulazioni più preziose e stimolanti per riorientare la pratica ecclesiale dell’annuncio, basandola non più sul dovere o sulla necessità, ma sulla carità, sull’amore eccessivo della Chiesa come segno dell’amore eccessivo di Dio. L’esigenza dell’annuncio è intrinseca all’esperienza della fede stessa e diventa il più grande atto di amore: non c’è infatti carità più grande di chi dona agli altri ciò che di più prezioso possiede, cioè la grazia del vangelo. Proprio perché l’evangelizzazione è un atto di amore, il più grande, essa non potrà essere condotta che in stile ‘grazioso’, come dono offerto alla libertà delle persone, con il massimo di disponibilità ma senza nessuna imposizione, proprio come Dio fa con noi. È in questo modo che la Chiesa non annuncerà </w:t>
      </w:r>
      <w:proofErr w:type="gramStart"/>
      <w:r w:rsidRPr="00A33B0C">
        <w:rPr>
          <w:rFonts w:ascii="Times New Roman" w:hAnsi="Times New Roman" w:cs="Times New Roman"/>
          <w:sz w:val="24"/>
          <w:szCs w:val="24"/>
        </w:rPr>
        <w:t>se</w:t>
      </w:r>
      <w:proofErr w:type="gramEnd"/>
      <w:r w:rsidRPr="00A33B0C">
        <w:rPr>
          <w:rFonts w:ascii="Times New Roman" w:hAnsi="Times New Roman" w:cs="Times New Roman"/>
          <w:sz w:val="24"/>
          <w:szCs w:val="24"/>
        </w:rPr>
        <w:t xml:space="preserve"> stessa, ma l’amore di Dio secondo lo stile di Dio. </w:t>
      </w:r>
    </w:p>
    <w:p w14:paraId="4A65EAA2"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D. L’anima di un paradosso: la prospettiva pneumatologica </w:t>
      </w:r>
    </w:p>
    <w:p w14:paraId="42E71BF2"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 Siamo giunti al termine del nostro periplo attorno al paradosso offerto dalla riflessione di A. </w:t>
      </w:r>
      <w:proofErr w:type="spellStart"/>
      <w:r w:rsidRPr="00A33B0C">
        <w:rPr>
          <w:rFonts w:ascii="Times New Roman" w:hAnsi="Times New Roman" w:cs="Times New Roman"/>
          <w:sz w:val="24"/>
          <w:szCs w:val="24"/>
        </w:rPr>
        <w:t>Fossion</w:t>
      </w:r>
      <w:proofErr w:type="spellEnd"/>
      <w:r w:rsidRPr="00A33B0C">
        <w:rPr>
          <w:rFonts w:ascii="Times New Roman" w:hAnsi="Times New Roman" w:cs="Times New Roman"/>
          <w:sz w:val="24"/>
          <w:szCs w:val="24"/>
        </w:rPr>
        <w:t xml:space="preserve">. Ma non comprenderemmo fino in fondo il suo pensiero e la consistenza della sua proposta se non mettessimo allo scoperto il presupposto trasversale e profondo che la sostiene: l’azione dello Spirito Santo. L’anima teologica del paradosso di una fede “non necessaria ma determinante” è di carattere pneumatologico. Se </w:t>
      </w:r>
      <w:proofErr w:type="spellStart"/>
      <w:r w:rsidRPr="00A33B0C">
        <w:rPr>
          <w:rFonts w:ascii="Times New Roman" w:hAnsi="Times New Roman" w:cs="Times New Roman"/>
          <w:sz w:val="24"/>
          <w:szCs w:val="24"/>
        </w:rPr>
        <w:t>Fossion</w:t>
      </w:r>
      <w:proofErr w:type="spellEnd"/>
      <w:r w:rsidRPr="00A33B0C">
        <w:rPr>
          <w:rFonts w:ascii="Times New Roman" w:hAnsi="Times New Roman" w:cs="Times New Roman"/>
          <w:sz w:val="24"/>
          <w:szCs w:val="24"/>
        </w:rPr>
        <w:t xml:space="preserve"> si limitasse ad un approccio cristologico ed ecclesiologico, non potrebbe minimamente sostenere quello che afferma. La salvezza sarebbe legata all’adesione esplicita a Gesù Cristo e di conseguenza la mediazione della Chiesa diverrebbe vincolante. L’autore è molto discreto a nominare lo Spirito Santo, ma tutta la sua prospettiva è profondamente pneumatologica. La sua affermazione della salvezza universale, del dono dell’amore eccessivo di Dio a tutti, di una grazia diffusa in tutti i cuori e in grado di condurre tutti alla pienezza della loro vita non è altro che il riconoscimento dell’agire di Dio nella storia tramite lo Spirito della Pentecoste, quello Spirito che precede la Chiesa e ne rende possibile la testimonianza. Il termine ‘grazia’, il più utilizzato dall’autore, è il suo modo per nominare in continuazione la presenza dello Spirito Santo. Il termine “carità”, culmine della sua riflessione catechetica, non è altro che il nome dello Spirito: la </w:t>
      </w:r>
      <w:proofErr w:type="spellStart"/>
      <w:r w:rsidRPr="00A33B0C">
        <w:rPr>
          <w:rFonts w:ascii="Times New Roman" w:hAnsi="Times New Roman" w:cs="Times New Roman"/>
          <w:sz w:val="24"/>
          <w:szCs w:val="24"/>
        </w:rPr>
        <w:t>karis</w:t>
      </w:r>
      <w:proofErr w:type="spellEnd"/>
      <w:r w:rsidRPr="00A33B0C">
        <w:rPr>
          <w:rFonts w:ascii="Times New Roman" w:hAnsi="Times New Roman" w:cs="Times New Roman"/>
          <w:sz w:val="24"/>
          <w:szCs w:val="24"/>
        </w:rPr>
        <w:t xml:space="preserve"> di Dio Padre che anima i discepoli di Cristo e le coscienze di tutte le donne e gli uomini di buona volontà. </w:t>
      </w:r>
    </w:p>
    <w:p w14:paraId="72D9FECE" w14:textId="16D660B2"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 In questa prospettiva trinitaria, al centro della quale si colloca l’azione dello Spirito nel tempo della nostra storia, il paradosso di cui ci siamo occupati manifesta tutta la sua fecondità a quattro livelli: teologico (la rappresentazione di Dio Trinità); antropologico (la figura di fede in questo Dio); ecclesiologico (la natura della Chiesa e la sua forma nel mondo); pastorale (le ragioni e lo stile della diaconia ecclesiale). Proprio perché non si tratta qui di un semplice maquillage della fede, ma di una sua profonda reinterpretazione che rimette in gioco tutte le dimensioni del cristianesimo, proprio per questo la sua proposta non lascia indifferenti. Come dicevamo all’inizio, essa o affascina o respinge. </w:t>
      </w:r>
      <w:r w:rsidRPr="00A33B0C">
        <w:rPr>
          <w:rFonts w:ascii="Times New Roman" w:hAnsi="Times New Roman" w:cs="Times New Roman"/>
          <w:sz w:val="24"/>
          <w:szCs w:val="24"/>
        </w:rPr>
        <w:lastRenderedPageBreak/>
        <w:t xml:space="preserve">Con una curiosa constatazione: affascina chi è lontano (o si è allontanato dalla Chiesa alla ricerca di una vita più umana di quella che gli era proposta), turba e provoca resistenze a chi è troppo vicino, a coloro cioè per i quali la fede fa parte delle evidenze, è vissuta come tradizione, è interpretata come dovere. A queste persone, che hanno ereditato il cristianesimo del dovere o quello dell’impegno, una tale proposta appare come minacciosa e chiede una profonda conversione: dal cristianesimo del dovere e dell’impegno a quello della grazia. </w:t>
      </w:r>
    </w:p>
    <w:p w14:paraId="301120FE"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Possiamo così notare, per concludere, la profonda sintonia della prospettiva assunta dal nostro autore con i contenuti e lo stile di </w:t>
      </w:r>
      <w:proofErr w:type="spellStart"/>
      <w:r w:rsidRPr="00A33B0C">
        <w:rPr>
          <w:rFonts w:ascii="Times New Roman" w:hAnsi="Times New Roman" w:cs="Times New Roman"/>
          <w:sz w:val="24"/>
          <w:szCs w:val="24"/>
        </w:rPr>
        <w:t>Evangelii</w:t>
      </w:r>
      <w:proofErr w:type="spellEnd"/>
      <w:r w:rsidRPr="00A33B0C">
        <w:rPr>
          <w:rFonts w:ascii="Times New Roman" w:hAnsi="Times New Roman" w:cs="Times New Roman"/>
          <w:sz w:val="24"/>
          <w:szCs w:val="24"/>
        </w:rPr>
        <w:t xml:space="preserve"> gaudium. Papa Francesco riporta la Chiesa al vangelo della gioia, quella gioia che nasce dalla scoperta di essere preceduti dall’amore di Dio, e in un passaggio particolarmente efficace motiva così la necessità e lo stile dell’annuncio de vangelo della gioia: </w:t>
      </w:r>
    </w:p>
    <w:p w14:paraId="1C2B895E" w14:textId="77777777" w:rsidR="0036793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«Abbiamo a disposizione un tesoro di vita e di amore che non può ingannare, il messaggio che non può manipolare né illudere. È una risposta che scende nel più profondo dell’essere umano e che può sostenerlo ed elevarlo. È la verità che non passa di moda perché è in grado di penetrare là dove nient’altro può arrivare … non è la stessa cosa aver conosciuto Gesù o non conoscerlo, non è la stessa cosa camminare con Lui o camminare a tentoni, non è la stessa cosa poterlo ascoltare o ignorare la sua Parola, non è la stessa cosa poterlo contemplare, adorare, riposare in Lui, o non poterlo fare. Non è la stessa cosa cercare di costruire il mondo con il suo Vangelo piuttosto che farlo unicamente con la propria ragione. Sappiamo bene che la vita con Gesù diventa molto più piena e che con Lui è più facile trovare il senso ad ogni cosa. È per questo che evangelizziamo (</w:t>
      </w:r>
      <w:proofErr w:type="spellStart"/>
      <w:r w:rsidRPr="00A33B0C">
        <w:rPr>
          <w:rFonts w:ascii="Times New Roman" w:hAnsi="Times New Roman" w:cs="Times New Roman"/>
          <w:sz w:val="24"/>
          <w:szCs w:val="24"/>
        </w:rPr>
        <w:t>Evangelii</w:t>
      </w:r>
      <w:proofErr w:type="spellEnd"/>
      <w:r w:rsidRPr="00A33B0C">
        <w:rPr>
          <w:rFonts w:ascii="Times New Roman" w:hAnsi="Times New Roman" w:cs="Times New Roman"/>
          <w:sz w:val="24"/>
          <w:szCs w:val="24"/>
        </w:rPr>
        <w:t xml:space="preserve"> Gaudium, 264-266</w:t>
      </w:r>
      <w:proofErr w:type="gramStart"/>
      <w:r w:rsidRPr="00A33B0C">
        <w:rPr>
          <w:rFonts w:ascii="Times New Roman" w:hAnsi="Times New Roman" w:cs="Times New Roman"/>
          <w:sz w:val="24"/>
          <w:szCs w:val="24"/>
        </w:rPr>
        <w:t>) »</w:t>
      </w:r>
      <w:proofErr w:type="gramEnd"/>
      <w:r w:rsidRPr="00A33B0C">
        <w:rPr>
          <w:rFonts w:ascii="Times New Roman" w:hAnsi="Times New Roman" w:cs="Times New Roman"/>
          <w:sz w:val="24"/>
          <w:szCs w:val="24"/>
        </w:rPr>
        <w:t xml:space="preserve">. </w:t>
      </w:r>
    </w:p>
    <w:p w14:paraId="093F1C35" w14:textId="4D418D80" w:rsidR="0073762A" w:rsidRPr="00A33B0C" w:rsidRDefault="0036793A" w:rsidP="00A33B0C">
      <w:pPr>
        <w:jc w:val="both"/>
        <w:rPr>
          <w:rFonts w:ascii="Times New Roman" w:hAnsi="Times New Roman" w:cs="Times New Roman"/>
          <w:sz w:val="24"/>
          <w:szCs w:val="24"/>
        </w:rPr>
      </w:pPr>
      <w:r w:rsidRPr="00A33B0C">
        <w:rPr>
          <w:rFonts w:ascii="Times New Roman" w:hAnsi="Times New Roman" w:cs="Times New Roman"/>
          <w:sz w:val="24"/>
          <w:szCs w:val="24"/>
        </w:rPr>
        <w:t xml:space="preserve">In fondo il paradosso di André </w:t>
      </w:r>
      <w:proofErr w:type="spellStart"/>
      <w:r w:rsidRPr="00A33B0C">
        <w:rPr>
          <w:rFonts w:ascii="Times New Roman" w:hAnsi="Times New Roman" w:cs="Times New Roman"/>
          <w:sz w:val="24"/>
          <w:szCs w:val="24"/>
        </w:rPr>
        <w:t>Fossion</w:t>
      </w:r>
      <w:proofErr w:type="spellEnd"/>
      <w:r w:rsidRPr="00A33B0C">
        <w:rPr>
          <w:rFonts w:ascii="Times New Roman" w:hAnsi="Times New Roman" w:cs="Times New Roman"/>
          <w:sz w:val="24"/>
          <w:szCs w:val="24"/>
        </w:rPr>
        <w:t xml:space="preserve"> sulla fede radicalmente non necessaria ma radicalmente preziosa può essere spiegato e compreso con il linguaggio semplice di Papa Francesco: «non è necessario, ma non è la stessa cosa».</w:t>
      </w:r>
    </w:p>
    <w:sectPr w:rsidR="0073762A" w:rsidRPr="00A33B0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93A"/>
    <w:rsid w:val="0036793A"/>
    <w:rsid w:val="0073762A"/>
    <w:rsid w:val="00A33B0C"/>
    <w:rsid w:val="00CD4E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CB34D"/>
  <w15:chartTrackingRefBased/>
  <w15:docId w15:val="{8CBD1928-02E2-4CAC-9C9E-DC5C4E01A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6793A"/>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4582</Words>
  <Characters>26124</Characters>
  <Application>Microsoft Office Word</Application>
  <DocSecurity>0</DocSecurity>
  <Lines>217</Lines>
  <Paragraphs>61</Paragraphs>
  <ScaleCrop>false</ScaleCrop>
  <Company/>
  <LinksUpToDate>false</LinksUpToDate>
  <CharactersWithSpaces>30645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dc:creator>
  <cp:keywords/>
  <dc:description/>
  <cp:lastModifiedBy>Davide</cp:lastModifiedBy>
  <cp:revision>2</cp:revision>
  <dcterms:created xsi:type="dcterms:W3CDTF">2023-10-30T16:19:00Z</dcterms:created>
  <dcterms:modified xsi:type="dcterms:W3CDTF">2023-10-30T16:25:00Z</dcterms:modified>
</cp:coreProperties>
</file>